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C37" w:rsidRPr="00EF6D22" w:rsidRDefault="00D70C37" w:rsidP="00D70C37">
      <w:pPr>
        <w:ind w:left="1843" w:right="1983"/>
        <w:jc w:val="both"/>
        <w:rPr>
          <w:rFonts w:ascii="Tahoma" w:hAnsi="Tahoma" w:cs="Tahoma"/>
          <w:i/>
          <w:sz w:val="22"/>
          <w:szCs w:val="22"/>
        </w:rPr>
      </w:pPr>
      <w:r w:rsidRPr="00EF6D22">
        <w:rPr>
          <w:rFonts w:ascii="Tahoma" w:hAnsi="Tahoma" w:cs="Tahoma"/>
          <w:b/>
          <w:i/>
          <w:sz w:val="22"/>
          <w:szCs w:val="22"/>
        </w:rPr>
        <w:t>Sumilla   :</w:t>
      </w:r>
      <w:r w:rsidRPr="00EF6D22">
        <w:rPr>
          <w:rFonts w:ascii="Tahoma" w:hAnsi="Tahoma" w:cs="Tahoma"/>
          <w:i/>
          <w:sz w:val="22"/>
          <w:szCs w:val="22"/>
        </w:rPr>
        <w:t xml:space="preserve"> </w:t>
      </w:r>
      <w:r w:rsidRPr="00EF6D22">
        <w:rPr>
          <w:rFonts w:ascii="Tahoma" w:hAnsi="Tahoma" w:cs="Tahoma"/>
          <w:i/>
          <w:sz w:val="22"/>
          <w:szCs w:val="22"/>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D70C37" w:rsidRPr="00EF6D22" w:rsidRDefault="00D70C37" w:rsidP="00D70C37">
      <w:pPr>
        <w:pStyle w:val="Textoindependiente3"/>
        <w:spacing w:after="0"/>
        <w:rPr>
          <w:rFonts w:ascii="Tahoma" w:hAnsi="Tahoma" w:cs="Tahoma"/>
          <w:i/>
          <w:sz w:val="22"/>
          <w:szCs w:val="22"/>
          <w:lang w:val="es-ES"/>
        </w:rPr>
      </w:pPr>
    </w:p>
    <w:p w:rsidR="00D70C37" w:rsidRPr="00EF6D22" w:rsidRDefault="00D70C37" w:rsidP="00D70C37">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E763B5">
        <w:rPr>
          <w:rFonts w:ascii="Tahoma" w:hAnsi="Tahoma" w:cs="Tahoma"/>
          <w:b/>
          <w:sz w:val="22"/>
          <w:szCs w:val="22"/>
        </w:rPr>
        <w:t xml:space="preserve"> 10 de Marzo de 2011</w:t>
      </w:r>
    </w:p>
    <w:p w:rsidR="00D70C37" w:rsidRPr="00EF6D22" w:rsidRDefault="00D70C37" w:rsidP="00D70C37">
      <w:pPr>
        <w:pStyle w:val="Textoindependiente3"/>
        <w:spacing w:after="0"/>
        <w:ind w:left="5387"/>
        <w:jc w:val="both"/>
        <w:rPr>
          <w:rFonts w:ascii="Tahoma" w:hAnsi="Tahoma" w:cs="Tahoma"/>
          <w:b/>
          <w:sz w:val="22"/>
          <w:szCs w:val="22"/>
        </w:rPr>
      </w:pPr>
    </w:p>
    <w:p w:rsidR="00D70C37" w:rsidRDefault="00D70C37" w:rsidP="00D70C37">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10 de marzo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1182.2010</w:t>
      </w:r>
      <w:r w:rsidRPr="00EF6D22">
        <w:rPr>
          <w:rFonts w:ascii="Tahoma" w:hAnsi="Tahoma" w:cs="Tahoma"/>
          <w:sz w:val="22"/>
          <w:szCs w:val="22"/>
        </w:rPr>
        <w:t xml:space="preserve">-TC; sobre el procedimiento administrativo sancionador iniciado contra la empresa </w:t>
      </w:r>
      <w:r w:rsidRPr="002A789B">
        <w:rPr>
          <w:rFonts w:ascii="Tahoma" w:hAnsi="Tahoma" w:cs="Tahoma"/>
          <w:sz w:val="22"/>
          <w:szCs w:val="22"/>
        </w:rPr>
        <w:t>CONSTRUCTORA PUKA HUECLLA S.R.L.</w:t>
      </w:r>
      <w:r>
        <w:rPr>
          <w:rFonts w:ascii="Tahoma" w:hAnsi="Tahoma" w:cs="Tahoma"/>
          <w:sz w:val="22"/>
          <w:szCs w:val="22"/>
        </w:rPr>
        <w:t>,</w:t>
      </w:r>
      <w:r>
        <w:rPr>
          <w:rFonts w:ascii="Tahoma" w:eastAsia="MS Mincho" w:hAnsi="Tahoma" w:cs="Tahoma"/>
          <w:sz w:val="22"/>
          <w:szCs w:val="22"/>
        </w:rPr>
        <w:t xml:space="preserve"> </w:t>
      </w:r>
      <w:r>
        <w:rPr>
          <w:rFonts w:ascii="Tahoma" w:hAnsi="Tahoma" w:cs="Tahoma"/>
          <w:sz w:val="22"/>
          <w:szCs w:val="22"/>
        </w:rPr>
        <w:t>por su supuesta responsabilidad al haber pr</w:t>
      </w:r>
      <w:r w:rsidRPr="006F12B4">
        <w:rPr>
          <w:rFonts w:ascii="Tahoma" w:hAnsi="Tahoma" w:cs="Tahoma"/>
          <w:sz w:val="22"/>
          <w:szCs w:val="22"/>
        </w:rPr>
        <w:t>esentado documentos falsos o inexactos durante su Inscripción como Ejecutor de Obras ante el Registro Nacional de Proveedores</w:t>
      </w:r>
      <w:r>
        <w:rPr>
          <w:rFonts w:ascii="Tahoma" w:hAnsi="Tahoma" w:cs="Tahoma"/>
          <w:sz w:val="22"/>
          <w:szCs w:val="22"/>
        </w:rPr>
        <w:t>.</w:t>
      </w:r>
    </w:p>
    <w:p w:rsidR="00D70C37" w:rsidRPr="00EF6D22" w:rsidRDefault="00D70C37" w:rsidP="00D70C37">
      <w:pPr>
        <w:ind w:firstLine="567"/>
        <w:contextualSpacing/>
        <w:jc w:val="both"/>
        <w:rPr>
          <w:rFonts w:ascii="Tahoma" w:hAnsi="Tahoma" w:cs="Tahoma"/>
          <w:b/>
          <w:sz w:val="22"/>
          <w:szCs w:val="22"/>
          <w:lang w:val="es-ES_tradnl"/>
        </w:rPr>
      </w:pPr>
    </w:p>
    <w:p w:rsidR="00D70C37" w:rsidRPr="00EF6D22" w:rsidRDefault="00D70C37" w:rsidP="00D70C37">
      <w:pPr>
        <w:pStyle w:val="Prrafodelista"/>
        <w:numPr>
          <w:ilvl w:val="0"/>
          <w:numId w:val="1"/>
        </w:numPr>
        <w:ind w:left="567" w:hanging="425"/>
        <w:rPr>
          <w:rFonts w:ascii="Tahoma" w:hAnsi="Tahoma" w:cs="Tahoma"/>
          <w:b/>
          <w:sz w:val="22"/>
          <w:szCs w:val="22"/>
        </w:rPr>
      </w:pPr>
      <w:r w:rsidRPr="00EF6D22">
        <w:rPr>
          <w:rFonts w:ascii="Tahoma" w:hAnsi="Tahoma" w:cs="Tahoma"/>
          <w:b/>
          <w:sz w:val="22"/>
          <w:szCs w:val="22"/>
        </w:rPr>
        <w:t>ANTECEDENTES:</w:t>
      </w:r>
    </w:p>
    <w:p w:rsidR="00D70C37" w:rsidRPr="00EF6D22" w:rsidRDefault="00D70C37" w:rsidP="00D70C37">
      <w:pPr>
        <w:jc w:val="both"/>
        <w:rPr>
          <w:rFonts w:ascii="Tahoma" w:hAnsi="Tahoma" w:cs="Tahoma"/>
          <w:b/>
          <w:sz w:val="22"/>
          <w:szCs w:val="22"/>
          <w:lang w:eastAsia="es-PE"/>
        </w:rPr>
      </w:pPr>
    </w:p>
    <w:p w:rsidR="00D70C37" w:rsidRPr="002A789B" w:rsidRDefault="00D70C37" w:rsidP="00D70C37">
      <w:pPr>
        <w:numPr>
          <w:ilvl w:val="0"/>
          <w:numId w:val="5"/>
        </w:numPr>
        <w:tabs>
          <w:tab w:val="clear" w:pos="360"/>
          <w:tab w:val="num" w:pos="567"/>
        </w:tabs>
        <w:ind w:left="567" w:hanging="567"/>
        <w:jc w:val="both"/>
        <w:rPr>
          <w:rFonts w:ascii="Tahoma" w:hAnsi="Tahoma" w:cs="Tahoma"/>
          <w:sz w:val="22"/>
          <w:szCs w:val="22"/>
        </w:rPr>
      </w:pPr>
      <w:r w:rsidRPr="002A789B">
        <w:rPr>
          <w:rFonts w:ascii="Tahoma" w:hAnsi="Tahoma" w:cs="Tahoma"/>
          <w:sz w:val="22"/>
          <w:szCs w:val="22"/>
        </w:rPr>
        <w:t>El 18 de enero de 2008, la empresa CONSTRUCTORA PUKA HUECLLA S.R.L.,</w:t>
      </w:r>
      <w:r>
        <w:rPr>
          <w:rFonts w:ascii="Tahoma" w:hAnsi="Tahoma" w:cs="Tahoma"/>
          <w:sz w:val="22"/>
          <w:szCs w:val="22"/>
        </w:rPr>
        <w:t xml:space="preserve"> en adelante </w:t>
      </w:r>
      <w:r w:rsidRPr="002A789B">
        <w:rPr>
          <w:rFonts w:ascii="Tahoma" w:hAnsi="Tahoma" w:cs="Tahoma"/>
          <w:sz w:val="22"/>
          <w:szCs w:val="22"/>
        </w:rPr>
        <w:t>l</w:t>
      </w:r>
      <w:r>
        <w:rPr>
          <w:rFonts w:ascii="Tahoma" w:hAnsi="Tahoma" w:cs="Tahoma"/>
          <w:sz w:val="22"/>
          <w:szCs w:val="22"/>
        </w:rPr>
        <w:t>a Denunciada</w:t>
      </w:r>
      <w:r w:rsidRPr="002A789B">
        <w:rPr>
          <w:rFonts w:ascii="Tahoma" w:hAnsi="Tahoma" w:cs="Tahoma"/>
          <w:sz w:val="22"/>
          <w:szCs w:val="22"/>
        </w:rPr>
        <w:t>, solicitó su Inscripción como Ejecutor de Obras ante el Registro Nacional de Proveedores, la misma que fue aprobada mediante Resolución de la Subdirección del Registro</w:t>
      </w:r>
      <w:r>
        <w:rPr>
          <w:rFonts w:ascii="Tahoma" w:hAnsi="Tahoma" w:cs="Tahoma"/>
          <w:sz w:val="22"/>
          <w:szCs w:val="22"/>
        </w:rPr>
        <w:t xml:space="preserve"> Nacional de Proveedores Nº 1161-2008</w:t>
      </w:r>
      <w:r w:rsidRPr="002A789B">
        <w:rPr>
          <w:rFonts w:ascii="Tahoma" w:hAnsi="Tahoma" w:cs="Tahoma"/>
          <w:sz w:val="22"/>
          <w:szCs w:val="22"/>
        </w:rPr>
        <w:t>-CON</w:t>
      </w:r>
      <w:r>
        <w:rPr>
          <w:rFonts w:ascii="Tahoma" w:hAnsi="Tahoma" w:cs="Tahoma"/>
          <w:sz w:val="22"/>
          <w:szCs w:val="22"/>
        </w:rPr>
        <w:t>SUCODE/SRNP de fecha 13 de febrero de 2008</w:t>
      </w:r>
      <w:r w:rsidRPr="002A789B">
        <w:rPr>
          <w:rFonts w:ascii="Tahoma" w:hAnsi="Tahoma" w:cs="Tahoma"/>
          <w:sz w:val="22"/>
          <w:szCs w:val="22"/>
        </w:rPr>
        <w:t>.</w:t>
      </w:r>
    </w:p>
    <w:p w:rsidR="00D70C37" w:rsidRPr="006F12B4" w:rsidRDefault="00D70C37" w:rsidP="00D70C37">
      <w:pPr>
        <w:ind w:left="567"/>
        <w:jc w:val="both"/>
        <w:rPr>
          <w:rFonts w:ascii="Tahoma" w:hAnsi="Tahoma" w:cs="Tahoma"/>
          <w:sz w:val="22"/>
          <w:szCs w:val="22"/>
        </w:rPr>
      </w:pPr>
    </w:p>
    <w:p w:rsidR="00D70C37" w:rsidRDefault="00D70C37" w:rsidP="00D70C37">
      <w:pPr>
        <w:numPr>
          <w:ilvl w:val="0"/>
          <w:numId w:val="5"/>
        </w:numPr>
        <w:tabs>
          <w:tab w:val="clear" w:pos="360"/>
          <w:tab w:val="num" w:pos="567"/>
        </w:tabs>
        <w:ind w:left="567" w:hanging="567"/>
        <w:jc w:val="both"/>
        <w:rPr>
          <w:rFonts w:ascii="Tahoma" w:hAnsi="Tahoma" w:cs="Tahoma"/>
          <w:sz w:val="22"/>
          <w:szCs w:val="22"/>
        </w:rPr>
      </w:pPr>
      <w:r w:rsidRPr="006F12B4">
        <w:rPr>
          <w:rFonts w:ascii="Tahoma" w:hAnsi="Tahoma" w:cs="Tahoma"/>
          <w:sz w:val="22"/>
          <w:szCs w:val="22"/>
        </w:rPr>
        <w:t>En el referido trámite de inscripción, l</w:t>
      </w:r>
      <w:r>
        <w:rPr>
          <w:rFonts w:ascii="Tahoma" w:hAnsi="Tahoma" w:cs="Tahoma"/>
          <w:sz w:val="22"/>
          <w:szCs w:val="22"/>
        </w:rPr>
        <w:t>a Denunciada</w:t>
      </w:r>
      <w:r w:rsidRPr="006F12B4">
        <w:rPr>
          <w:rFonts w:ascii="Tahoma" w:hAnsi="Tahoma" w:cs="Tahoma"/>
          <w:sz w:val="22"/>
          <w:szCs w:val="22"/>
        </w:rPr>
        <w:t xml:space="preserve"> presentó como miembro de su Plantel Técnico al inge</w:t>
      </w:r>
      <w:r>
        <w:rPr>
          <w:rFonts w:ascii="Tahoma" w:hAnsi="Tahoma" w:cs="Tahoma"/>
          <w:sz w:val="22"/>
          <w:szCs w:val="22"/>
        </w:rPr>
        <w:t>niero René Bladimir Reynalte Palacios</w:t>
      </w:r>
      <w:r w:rsidRPr="006F12B4">
        <w:rPr>
          <w:rFonts w:ascii="Tahoma" w:hAnsi="Tahoma" w:cs="Tahoma"/>
          <w:sz w:val="22"/>
          <w:szCs w:val="22"/>
        </w:rPr>
        <w:t>, en adelante el Ingeniero, adjuntando para tal efecto los siguientes documentos:</w:t>
      </w:r>
    </w:p>
    <w:p w:rsidR="00D70C37" w:rsidRPr="006F12B4" w:rsidRDefault="00D70C37" w:rsidP="00D70C37">
      <w:pPr>
        <w:pStyle w:val="Prrafodelista"/>
        <w:rPr>
          <w:rFonts w:ascii="Tahoma" w:hAnsi="Tahoma" w:cs="Tahoma"/>
          <w:sz w:val="22"/>
          <w:szCs w:val="22"/>
          <w:lang w:val="es-ES"/>
        </w:rPr>
      </w:pPr>
    </w:p>
    <w:p w:rsidR="00D70C37" w:rsidRPr="006F12B4" w:rsidRDefault="00D70C37" w:rsidP="00D70C37">
      <w:pPr>
        <w:pStyle w:val="Prrafodelista"/>
        <w:numPr>
          <w:ilvl w:val="0"/>
          <w:numId w:val="6"/>
        </w:numPr>
        <w:jc w:val="both"/>
        <w:rPr>
          <w:rFonts w:ascii="Tahoma" w:hAnsi="Tahoma" w:cs="Tahoma"/>
          <w:sz w:val="22"/>
          <w:szCs w:val="22"/>
        </w:rPr>
      </w:pPr>
      <w:r w:rsidRPr="006F12B4">
        <w:rPr>
          <w:rFonts w:ascii="Tahoma" w:hAnsi="Tahoma" w:cs="Tahoma"/>
          <w:sz w:val="22"/>
          <w:szCs w:val="22"/>
        </w:rPr>
        <w:t>La Declaración Jurada de Integrantes del Plantel Técnico, firmada por el Ingeniero, en la cual declaró que tiene vínculo laboral con la Denunciada</w:t>
      </w:r>
    </w:p>
    <w:p w:rsidR="00D70C37" w:rsidRPr="006F12B4" w:rsidRDefault="00D70C37" w:rsidP="00D70C37">
      <w:pPr>
        <w:ind w:left="567"/>
        <w:jc w:val="both"/>
        <w:rPr>
          <w:rFonts w:ascii="Tahoma" w:hAnsi="Tahoma" w:cs="Tahoma"/>
          <w:sz w:val="22"/>
          <w:szCs w:val="22"/>
        </w:rPr>
      </w:pPr>
    </w:p>
    <w:p w:rsidR="00D70C37" w:rsidRPr="006F12B4" w:rsidRDefault="00D70C37" w:rsidP="00D70C37">
      <w:pPr>
        <w:pStyle w:val="Prrafodelista"/>
        <w:numPr>
          <w:ilvl w:val="0"/>
          <w:numId w:val="6"/>
        </w:numPr>
        <w:jc w:val="both"/>
        <w:rPr>
          <w:rFonts w:ascii="Tahoma" w:hAnsi="Tahoma" w:cs="Tahoma"/>
          <w:sz w:val="22"/>
          <w:szCs w:val="22"/>
        </w:rPr>
      </w:pPr>
      <w:r w:rsidRPr="006F12B4">
        <w:rPr>
          <w:rFonts w:ascii="Tahoma" w:hAnsi="Tahoma" w:cs="Tahoma"/>
          <w:sz w:val="22"/>
          <w:szCs w:val="22"/>
        </w:rPr>
        <w:t xml:space="preserve">El Contrato de Trabajo </w:t>
      </w:r>
      <w:r>
        <w:rPr>
          <w:rFonts w:ascii="Tahoma" w:hAnsi="Tahoma" w:cs="Tahoma"/>
          <w:sz w:val="22"/>
          <w:szCs w:val="22"/>
        </w:rPr>
        <w:t>A Plazo Indeterminado de fecha 07 de febrero de 2008</w:t>
      </w:r>
      <w:r w:rsidRPr="006F12B4">
        <w:rPr>
          <w:rFonts w:ascii="Tahoma" w:hAnsi="Tahoma" w:cs="Tahoma"/>
          <w:sz w:val="22"/>
          <w:szCs w:val="22"/>
        </w:rPr>
        <w:t>, suscrito entre el Denunciado y el Ingeniero.</w:t>
      </w:r>
    </w:p>
    <w:p w:rsidR="00D70C37" w:rsidRPr="006F12B4" w:rsidRDefault="00D70C37" w:rsidP="00D70C37">
      <w:pPr>
        <w:tabs>
          <w:tab w:val="num" w:pos="567"/>
        </w:tabs>
        <w:ind w:left="567"/>
        <w:jc w:val="both"/>
        <w:rPr>
          <w:rFonts w:ascii="Tahoma" w:hAnsi="Tahoma" w:cs="Tahoma"/>
          <w:sz w:val="22"/>
          <w:szCs w:val="22"/>
          <w:lang w:val="es-ES_tradnl"/>
        </w:rPr>
      </w:pPr>
    </w:p>
    <w:p w:rsidR="00D70C37" w:rsidRDefault="00D70C37" w:rsidP="00D70C37">
      <w:pPr>
        <w:pStyle w:val="Prrafodelista"/>
        <w:widowControl/>
        <w:numPr>
          <w:ilvl w:val="0"/>
          <w:numId w:val="5"/>
        </w:numPr>
        <w:tabs>
          <w:tab w:val="clear" w:pos="360"/>
          <w:tab w:val="num" w:pos="540"/>
          <w:tab w:val="num" w:pos="567"/>
        </w:tabs>
        <w:suppressAutoHyphens w:val="0"/>
        <w:ind w:left="567" w:hanging="567"/>
        <w:contextualSpacing/>
        <w:jc w:val="both"/>
        <w:rPr>
          <w:rFonts w:ascii="Tahoma" w:hAnsi="Tahoma" w:cs="Tahoma"/>
          <w:sz w:val="22"/>
          <w:szCs w:val="22"/>
        </w:rPr>
      </w:pPr>
      <w:r>
        <w:rPr>
          <w:rFonts w:ascii="Tahoma" w:hAnsi="Tahoma" w:cs="Tahoma"/>
          <w:sz w:val="22"/>
          <w:szCs w:val="22"/>
        </w:rPr>
        <w:t>A través de la Declaración Jurada Notarial de fecha 16 de abril de 2008</w:t>
      </w:r>
      <w:r w:rsidRPr="006F12B4">
        <w:rPr>
          <w:rFonts w:ascii="Tahoma" w:hAnsi="Tahoma" w:cs="Tahoma"/>
          <w:sz w:val="22"/>
          <w:szCs w:val="22"/>
        </w:rPr>
        <w:t>, el Ingeniero comunicó al Registro Nacional de Proveedores lo siguiente:</w:t>
      </w:r>
    </w:p>
    <w:p w:rsidR="00D70C37" w:rsidRPr="006F12B4" w:rsidRDefault="00D70C37" w:rsidP="00D70C37">
      <w:pPr>
        <w:pStyle w:val="Prrafodelista"/>
        <w:widowControl/>
        <w:tabs>
          <w:tab w:val="num" w:pos="567"/>
        </w:tabs>
        <w:suppressAutoHyphens w:val="0"/>
        <w:ind w:left="567"/>
        <w:contextualSpacing/>
        <w:jc w:val="both"/>
        <w:rPr>
          <w:rFonts w:ascii="Tahoma" w:hAnsi="Tahoma" w:cs="Tahoma"/>
          <w:sz w:val="22"/>
          <w:szCs w:val="22"/>
        </w:rPr>
      </w:pPr>
    </w:p>
    <w:p w:rsidR="00D70C37" w:rsidRDefault="00D70C37" w:rsidP="00D70C37">
      <w:pPr>
        <w:pStyle w:val="Prrafodelista"/>
        <w:widowControl/>
        <w:suppressAutoHyphens w:val="0"/>
        <w:ind w:left="1276" w:right="849"/>
        <w:contextualSpacing/>
        <w:jc w:val="both"/>
        <w:rPr>
          <w:rFonts w:ascii="Tahoma" w:hAnsi="Tahoma" w:cs="Tahoma"/>
          <w:i/>
          <w:sz w:val="22"/>
          <w:szCs w:val="22"/>
        </w:rPr>
      </w:pPr>
      <w:r w:rsidRPr="006F12B4">
        <w:rPr>
          <w:rFonts w:ascii="Tahoma" w:hAnsi="Tahoma" w:cs="Tahoma"/>
          <w:i/>
          <w:sz w:val="22"/>
          <w:szCs w:val="22"/>
        </w:rPr>
        <w:t>“</w:t>
      </w:r>
      <w:r>
        <w:rPr>
          <w:rFonts w:ascii="Tahoma" w:hAnsi="Tahoma" w:cs="Tahoma"/>
          <w:i/>
          <w:sz w:val="22"/>
          <w:szCs w:val="22"/>
        </w:rPr>
        <w:t>QUE, TENGO CONTRATO A PLAZO INDETERMINADO DESDE EL 25/02/08 CON LA EMPRESA CARLOS INGENIEROS S.R.L. IDENTIFICADA CON R.U.C. NUMERO 20445439666, CON DOMICILIO EN EL JIRON JOAQUIN INCLAN NUMERO 118-</w:t>
      </w:r>
      <w:r>
        <w:rPr>
          <w:rFonts w:ascii="Tahoma" w:hAnsi="Tahoma" w:cs="Tahoma"/>
          <w:i/>
          <w:sz w:val="22"/>
          <w:szCs w:val="22"/>
        </w:rPr>
        <w:lastRenderedPageBreak/>
        <w:t>CASCAPAMPA, DISTRITO DE INDEPENDENCIA, PROVINCIA DE HUARAZ, DEPARTAMENTO DE ANCASH.--------------------------</w:t>
      </w:r>
    </w:p>
    <w:p w:rsidR="00D70C37" w:rsidRPr="006F12B4" w:rsidRDefault="00D70C37" w:rsidP="00D70C37">
      <w:pPr>
        <w:pStyle w:val="Prrafodelista"/>
        <w:widowControl/>
        <w:suppressAutoHyphens w:val="0"/>
        <w:ind w:left="1276" w:right="849"/>
        <w:contextualSpacing/>
        <w:jc w:val="both"/>
        <w:rPr>
          <w:rFonts w:ascii="Tahoma" w:hAnsi="Tahoma" w:cs="Tahoma"/>
          <w:i/>
          <w:sz w:val="22"/>
          <w:szCs w:val="22"/>
        </w:rPr>
      </w:pPr>
      <w:r>
        <w:rPr>
          <w:rFonts w:ascii="Tahoma" w:hAnsi="Tahoma" w:cs="Tahoma"/>
          <w:i/>
          <w:sz w:val="22"/>
          <w:szCs w:val="22"/>
        </w:rPr>
        <w:t>POR LO QUE HAGO DE CONOCIMIENTO QUE NO HE SUSCRITO CONTRATO ALGUNO CON LA EMPRESA CONSTRUCTORA PUKA HUECLLA S.R.L., CON REG. 14651 QUE USTEDES DAN A CONOCER, ASIMISMO DESCONOZCO A LOS REPRESENTANTES LEGALES DE LA MENCIONADA EMPRESA POR LO QUE AUTORIZO A USTEDES TOMAR LAS MEDIDAS CORRECTIVAS QUE AMERITE ESTE CASO</w:t>
      </w:r>
      <w:r w:rsidRPr="006F12B4">
        <w:rPr>
          <w:rFonts w:ascii="Tahoma" w:hAnsi="Tahoma" w:cs="Tahoma"/>
          <w:i/>
          <w:sz w:val="22"/>
          <w:szCs w:val="22"/>
        </w:rPr>
        <w:t>”</w:t>
      </w:r>
    </w:p>
    <w:p w:rsidR="00D70C37" w:rsidRDefault="00D70C37" w:rsidP="00D70C37">
      <w:pPr>
        <w:pStyle w:val="Prrafodelista"/>
        <w:rPr>
          <w:rFonts w:ascii="Tahoma" w:hAnsi="Tahoma" w:cs="Tahoma"/>
          <w:sz w:val="22"/>
          <w:szCs w:val="22"/>
        </w:rPr>
      </w:pPr>
    </w:p>
    <w:p w:rsidR="00D70C37" w:rsidRDefault="00D70C37" w:rsidP="00D70C37">
      <w:pPr>
        <w:pStyle w:val="Prrafodelista"/>
        <w:widowControl/>
        <w:numPr>
          <w:ilvl w:val="0"/>
          <w:numId w:val="5"/>
        </w:numPr>
        <w:tabs>
          <w:tab w:val="clear" w:pos="360"/>
          <w:tab w:val="num" w:pos="540"/>
          <w:tab w:val="num" w:pos="567"/>
        </w:tabs>
        <w:suppressAutoHyphens w:val="0"/>
        <w:ind w:left="567" w:hanging="567"/>
        <w:contextualSpacing/>
        <w:jc w:val="both"/>
        <w:rPr>
          <w:rFonts w:ascii="Tahoma" w:hAnsi="Tahoma" w:cs="Tahoma"/>
          <w:sz w:val="22"/>
          <w:szCs w:val="22"/>
        </w:rPr>
      </w:pPr>
      <w:r>
        <w:rPr>
          <w:rFonts w:ascii="Tahoma" w:hAnsi="Tahoma" w:cs="Tahoma"/>
          <w:sz w:val="22"/>
          <w:szCs w:val="22"/>
        </w:rPr>
        <w:t>Mediante Oficio Nº 2003-2008-CONSUCODE-SRNP/FP de fecha 30 de mayo de 2008, la Oficina de Fiscalización Posterior de la Subdirección del Registro Nacional de Proveedores, solicito al Ingeniero que brinde su conformidad respecto a la Declaración Jurada de Integrantes del Plantel Técnico, presentada por la Denunciada, con fecha 08.02.2008; así como el Contrato de Trabajo a Plazo Indeterminado suscrito el 07.02.2008.</w:t>
      </w:r>
    </w:p>
    <w:p w:rsidR="00D70C37" w:rsidRDefault="00D70C37" w:rsidP="00D70C37">
      <w:pPr>
        <w:pStyle w:val="Prrafodelista"/>
        <w:widowControl/>
        <w:tabs>
          <w:tab w:val="num" w:pos="567"/>
        </w:tabs>
        <w:suppressAutoHyphens w:val="0"/>
        <w:ind w:left="567"/>
        <w:contextualSpacing/>
        <w:jc w:val="both"/>
        <w:rPr>
          <w:rFonts w:ascii="Tahoma" w:hAnsi="Tahoma" w:cs="Tahoma"/>
          <w:sz w:val="22"/>
          <w:szCs w:val="22"/>
        </w:rPr>
      </w:pPr>
    </w:p>
    <w:p w:rsidR="00D70C37" w:rsidRPr="006F12B4" w:rsidRDefault="00D70C37" w:rsidP="00D70C37">
      <w:pPr>
        <w:pStyle w:val="Prrafodelista"/>
        <w:widowControl/>
        <w:numPr>
          <w:ilvl w:val="0"/>
          <w:numId w:val="5"/>
        </w:numPr>
        <w:tabs>
          <w:tab w:val="clear" w:pos="360"/>
          <w:tab w:val="num" w:pos="540"/>
          <w:tab w:val="num" w:pos="567"/>
        </w:tabs>
        <w:suppressAutoHyphens w:val="0"/>
        <w:ind w:left="567" w:hanging="567"/>
        <w:contextualSpacing/>
        <w:jc w:val="both"/>
        <w:rPr>
          <w:rFonts w:ascii="Tahoma" w:hAnsi="Tahoma" w:cs="Tahoma"/>
          <w:sz w:val="22"/>
          <w:szCs w:val="22"/>
        </w:rPr>
      </w:pPr>
      <w:r>
        <w:rPr>
          <w:rFonts w:ascii="Tahoma" w:hAnsi="Tahoma" w:cs="Tahoma"/>
          <w:sz w:val="22"/>
          <w:szCs w:val="22"/>
        </w:rPr>
        <w:t xml:space="preserve">A través del escrito de fecha 03 de julio del 2008, el Ingeniero informó que la documentación presentada por la Denunciada no es conforme, toda vez que la firma que aparece en la Declaración Jurada de Integrantes del Plantel Técnico y el Contrato de Trabajo a Plazo Indeterminado, no corresponde a su firma y no tiene semejanza, tal como se puede advertir de su D.N.I. Asimismo, señaló que viene laborando como miembro del plantel técnico de la empresa CARLOS INGENIEROS S.R.L. </w:t>
      </w:r>
    </w:p>
    <w:p w:rsidR="00D70C37" w:rsidRPr="006F12B4" w:rsidRDefault="00D70C37" w:rsidP="00D70C37">
      <w:pPr>
        <w:pStyle w:val="Prrafodelista"/>
        <w:rPr>
          <w:rFonts w:ascii="Tahoma" w:hAnsi="Tahoma" w:cs="Tahoma"/>
          <w:sz w:val="22"/>
          <w:szCs w:val="22"/>
        </w:rPr>
      </w:pPr>
    </w:p>
    <w:p w:rsidR="00D70C37" w:rsidRPr="006F12B4" w:rsidRDefault="00D70C37" w:rsidP="00D70C37">
      <w:pPr>
        <w:pStyle w:val="Prrafodelista"/>
        <w:widowControl/>
        <w:numPr>
          <w:ilvl w:val="0"/>
          <w:numId w:val="5"/>
        </w:numPr>
        <w:tabs>
          <w:tab w:val="clear" w:pos="360"/>
          <w:tab w:val="num" w:pos="540"/>
          <w:tab w:val="num" w:pos="567"/>
        </w:tabs>
        <w:suppressAutoHyphens w:val="0"/>
        <w:ind w:left="567" w:hanging="567"/>
        <w:contextualSpacing/>
        <w:jc w:val="both"/>
        <w:rPr>
          <w:rFonts w:ascii="Tahoma" w:hAnsi="Tahoma" w:cs="Tahoma"/>
          <w:sz w:val="22"/>
          <w:szCs w:val="22"/>
        </w:rPr>
      </w:pPr>
      <w:r>
        <w:rPr>
          <w:rFonts w:ascii="Tahoma" w:hAnsi="Tahoma" w:cs="Tahoma"/>
          <w:sz w:val="22"/>
          <w:szCs w:val="22"/>
        </w:rPr>
        <w:t>Asimismo, mediante el Dictamen Pericial Grafotécnico de fecha 08 de setiembre de 2008, solicitado por la Subdirección del Registro Nacional de Proveedores, el s</w:t>
      </w:r>
      <w:r w:rsidRPr="006F12B4">
        <w:rPr>
          <w:rFonts w:ascii="Tahoma" w:hAnsi="Tahoma" w:cs="Tahoma"/>
          <w:sz w:val="22"/>
          <w:szCs w:val="22"/>
        </w:rPr>
        <w:t xml:space="preserve">eñor </w:t>
      </w:r>
      <w:r>
        <w:rPr>
          <w:rFonts w:ascii="Tahoma" w:hAnsi="Tahoma" w:cs="Tahoma"/>
          <w:sz w:val="22"/>
          <w:szCs w:val="22"/>
        </w:rPr>
        <w:t>Ysmael Flores Quispe, Perito</w:t>
      </w:r>
      <w:r w:rsidRPr="006F12B4">
        <w:rPr>
          <w:rFonts w:ascii="Tahoma" w:hAnsi="Tahoma" w:cs="Tahoma"/>
          <w:sz w:val="22"/>
          <w:szCs w:val="22"/>
        </w:rPr>
        <w:t xml:space="preserve"> Grafotécnico, entregó</w:t>
      </w:r>
      <w:r>
        <w:rPr>
          <w:rFonts w:ascii="Tahoma" w:hAnsi="Tahoma" w:cs="Tahoma"/>
          <w:sz w:val="22"/>
          <w:szCs w:val="22"/>
        </w:rPr>
        <w:t xml:space="preserve"> el Informe</w:t>
      </w:r>
      <w:r w:rsidRPr="006F12B4">
        <w:rPr>
          <w:rFonts w:ascii="Tahoma" w:hAnsi="Tahoma" w:cs="Tahoma"/>
          <w:sz w:val="22"/>
          <w:szCs w:val="22"/>
        </w:rPr>
        <w:t xml:space="preserve"> Pericia</w:t>
      </w:r>
      <w:r>
        <w:rPr>
          <w:rFonts w:ascii="Tahoma" w:hAnsi="Tahoma" w:cs="Tahoma"/>
          <w:sz w:val="22"/>
          <w:szCs w:val="22"/>
        </w:rPr>
        <w:t>l de Análisis Grafotécnico</w:t>
      </w:r>
      <w:r w:rsidRPr="006F12B4">
        <w:rPr>
          <w:rFonts w:ascii="Tahoma" w:hAnsi="Tahoma" w:cs="Tahoma"/>
          <w:sz w:val="22"/>
          <w:szCs w:val="22"/>
        </w:rPr>
        <w:t xml:space="preserve"> realizada a los documentos cuestionados, es decir a la Declaración Jurada de Integrantes del Plantel Técnico y el </w:t>
      </w:r>
      <w:r>
        <w:rPr>
          <w:rFonts w:ascii="Tahoma" w:hAnsi="Tahoma" w:cs="Tahoma"/>
          <w:sz w:val="22"/>
          <w:szCs w:val="22"/>
        </w:rPr>
        <w:t>Contrato de Trabajo a Plazo Indeterminado suscrito el 07 de febrero del 2008, en el cual</w:t>
      </w:r>
      <w:r w:rsidRPr="006F12B4">
        <w:rPr>
          <w:rFonts w:ascii="Tahoma" w:hAnsi="Tahoma" w:cs="Tahoma"/>
          <w:sz w:val="22"/>
          <w:szCs w:val="22"/>
        </w:rPr>
        <w:t xml:space="preserve"> se llegó</w:t>
      </w:r>
      <w:r>
        <w:rPr>
          <w:rFonts w:ascii="Tahoma" w:hAnsi="Tahoma" w:cs="Tahoma"/>
          <w:sz w:val="22"/>
          <w:szCs w:val="22"/>
        </w:rPr>
        <w:t xml:space="preserve"> a la siguiente conclusión</w:t>
      </w:r>
      <w:r w:rsidRPr="006F12B4">
        <w:rPr>
          <w:rFonts w:ascii="Tahoma" w:hAnsi="Tahoma" w:cs="Tahoma"/>
          <w:sz w:val="22"/>
          <w:szCs w:val="22"/>
        </w:rPr>
        <w:t>:</w:t>
      </w:r>
    </w:p>
    <w:p w:rsidR="00D70C37" w:rsidRPr="006F12B4" w:rsidRDefault="00D70C37" w:rsidP="00D70C37">
      <w:pPr>
        <w:pStyle w:val="Prrafodelista"/>
        <w:widowControl/>
        <w:tabs>
          <w:tab w:val="num" w:pos="567"/>
        </w:tabs>
        <w:suppressAutoHyphens w:val="0"/>
        <w:ind w:left="567"/>
        <w:contextualSpacing/>
        <w:jc w:val="both"/>
        <w:rPr>
          <w:rFonts w:ascii="Tahoma" w:hAnsi="Tahoma" w:cs="Tahoma"/>
          <w:sz w:val="22"/>
          <w:szCs w:val="22"/>
        </w:rPr>
      </w:pPr>
    </w:p>
    <w:p w:rsidR="00D70C37" w:rsidRPr="00287B5E" w:rsidRDefault="00D70C37" w:rsidP="00D70C37">
      <w:pPr>
        <w:ind w:left="993" w:right="424"/>
        <w:contextualSpacing/>
        <w:jc w:val="both"/>
        <w:rPr>
          <w:rFonts w:ascii="Tahoma" w:hAnsi="Tahoma" w:cs="Tahoma"/>
          <w:i/>
          <w:sz w:val="18"/>
          <w:szCs w:val="18"/>
        </w:rPr>
      </w:pPr>
      <w:r w:rsidRPr="00287B5E">
        <w:rPr>
          <w:rFonts w:ascii="Tahoma" w:hAnsi="Tahoma" w:cs="Tahoma"/>
          <w:i/>
          <w:sz w:val="18"/>
          <w:szCs w:val="18"/>
        </w:rPr>
        <w:t>“Las firmas atribuidas a Rene Bladimir Reynalte Palacios, que aparecen trazadas al final del contrato de plazo indeterminado de fecha 07 de febrero de 2008 y la Declaración Jurada de Integrantes del Plantel Técnico, constituyen firmas no homólogas en relación a sus muestras genuinas del cotejo, según las consideraciones expuestas en el presente examen”.</w:t>
      </w:r>
      <w:r>
        <w:rPr>
          <w:rFonts w:ascii="Tahoma" w:hAnsi="Tahoma" w:cs="Tahoma"/>
          <w:i/>
          <w:sz w:val="18"/>
          <w:szCs w:val="18"/>
        </w:rPr>
        <w:t xml:space="preserve"> (Sic)</w:t>
      </w:r>
    </w:p>
    <w:p w:rsidR="00D70C37" w:rsidRPr="006F12B4" w:rsidRDefault="00D70C37" w:rsidP="00D70C37">
      <w:pPr>
        <w:pStyle w:val="Prrafodelista"/>
        <w:rPr>
          <w:rFonts w:ascii="Tahoma" w:hAnsi="Tahoma" w:cs="Tahoma"/>
          <w:sz w:val="22"/>
          <w:szCs w:val="22"/>
        </w:rPr>
      </w:pPr>
    </w:p>
    <w:p w:rsidR="00D70C37" w:rsidRDefault="00D70C37" w:rsidP="00D70C37">
      <w:pPr>
        <w:numPr>
          <w:ilvl w:val="0"/>
          <w:numId w:val="5"/>
        </w:numPr>
        <w:tabs>
          <w:tab w:val="clear" w:pos="360"/>
          <w:tab w:val="num" w:pos="540"/>
          <w:tab w:val="num" w:pos="567"/>
        </w:tabs>
        <w:ind w:left="540" w:hanging="540"/>
        <w:jc w:val="both"/>
        <w:rPr>
          <w:rFonts w:ascii="Tahoma" w:hAnsi="Tahoma" w:cs="Tahoma"/>
          <w:sz w:val="22"/>
          <w:szCs w:val="22"/>
        </w:rPr>
      </w:pPr>
      <w:r w:rsidRPr="003F2AF3">
        <w:rPr>
          <w:rFonts w:ascii="Tahoma" w:hAnsi="Tahoma" w:cs="Tahoma"/>
          <w:sz w:val="22"/>
          <w:szCs w:val="22"/>
        </w:rPr>
        <w:t>Mediante Resolución Nº 558-2008-CONSUCODE/PRE de fecha 07 de noviembre de 2008, se dispuso declarar, entre otros, la Nulidad de la Resolución de la Subdirección Nº 1161-2008-CONSUCODE/SRNP de fecha 13 de febrero del 2008, que aprobó la Inscripción como Ejecutor de Obras en el Registro Nacional de Proveedores a la Denunciada</w:t>
      </w:r>
      <w:r>
        <w:rPr>
          <w:rFonts w:ascii="Tahoma" w:hAnsi="Tahoma" w:cs="Tahoma"/>
          <w:sz w:val="22"/>
          <w:szCs w:val="22"/>
        </w:rPr>
        <w:t>; asimismo, se dispuso po</w:t>
      </w:r>
      <w:r w:rsidRPr="003F2AF3">
        <w:rPr>
          <w:rFonts w:ascii="Tahoma" w:hAnsi="Tahoma" w:cs="Tahoma"/>
          <w:sz w:val="22"/>
          <w:szCs w:val="22"/>
        </w:rPr>
        <w:t>ne</w:t>
      </w:r>
      <w:r>
        <w:rPr>
          <w:rFonts w:ascii="Tahoma" w:hAnsi="Tahoma" w:cs="Tahoma"/>
          <w:sz w:val="22"/>
          <w:szCs w:val="22"/>
        </w:rPr>
        <w:t>r</w:t>
      </w:r>
      <w:r w:rsidRPr="003F2AF3">
        <w:rPr>
          <w:rFonts w:ascii="Tahoma" w:hAnsi="Tahoma" w:cs="Tahoma"/>
          <w:sz w:val="22"/>
          <w:szCs w:val="22"/>
        </w:rPr>
        <w:t xml:space="preserve"> la presente resolución en conocimiento del Tribunal, a fin que se inicie el procedimiento administrativo sancionador.</w:t>
      </w:r>
    </w:p>
    <w:p w:rsidR="00D70C37" w:rsidRPr="006F12B4" w:rsidRDefault="00D70C37" w:rsidP="00D70C37">
      <w:pPr>
        <w:tabs>
          <w:tab w:val="num" w:pos="567"/>
        </w:tabs>
        <w:ind w:left="540"/>
        <w:jc w:val="both"/>
        <w:rPr>
          <w:rFonts w:ascii="Tahoma" w:hAnsi="Tahoma" w:cs="Tahoma"/>
          <w:sz w:val="22"/>
          <w:szCs w:val="22"/>
        </w:rPr>
      </w:pPr>
    </w:p>
    <w:p w:rsidR="00D70C37" w:rsidRPr="006F12B4" w:rsidRDefault="00D70C37" w:rsidP="00D70C37">
      <w:pPr>
        <w:numPr>
          <w:ilvl w:val="0"/>
          <w:numId w:val="5"/>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Mediante Memorando Nº 782-</w:t>
      </w:r>
      <w:r w:rsidRPr="006F12B4">
        <w:rPr>
          <w:rFonts w:ascii="Tahoma" w:hAnsi="Tahoma" w:cs="Tahoma"/>
          <w:sz w:val="22"/>
          <w:szCs w:val="22"/>
        </w:rPr>
        <w:t xml:space="preserve">2010/DS-MSH de fecha </w:t>
      </w:r>
      <w:r>
        <w:rPr>
          <w:rFonts w:ascii="Tahoma" w:hAnsi="Tahoma" w:cs="Tahoma"/>
          <w:sz w:val="22"/>
          <w:szCs w:val="22"/>
        </w:rPr>
        <w:t>01 de setiembre</w:t>
      </w:r>
      <w:r w:rsidRPr="006F12B4">
        <w:rPr>
          <w:rFonts w:ascii="Tahoma" w:hAnsi="Tahoma" w:cs="Tahoma"/>
          <w:sz w:val="22"/>
          <w:szCs w:val="22"/>
        </w:rPr>
        <w:t xml:space="preserve"> de 2010, la Dirección del Seace del Organismo Supervisor de la Contrataciones del Estado comunicó a este Tribunal los hechos antes descritos.</w:t>
      </w:r>
    </w:p>
    <w:p w:rsidR="00D70C37" w:rsidRPr="006F12B4" w:rsidRDefault="00D70C37" w:rsidP="00D70C37">
      <w:pPr>
        <w:tabs>
          <w:tab w:val="num" w:pos="567"/>
        </w:tabs>
        <w:jc w:val="both"/>
        <w:rPr>
          <w:rFonts w:ascii="Tahoma" w:hAnsi="Tahoma" w:cs="Tahoma"/>
          <w:sz w:val="22"/>
          <w:szCs w:val="22"/>
        </w:rPr>
      </w:pPr>
    </w:p>
    <w:p w:rsidR="00D70C37" w:rsidRDefault="00D70C37" w:rsidP="00D70C37">
      <w:pPr>
        <w:numPr>
          <w:ilvl w:val="0"/>
          <w:numId w:val="5"/>
        </w:numPr>
        <w:tabs>
          <w:tab w:val="clear" w:pos="360"/>
          <w:tab w:val="num" w:pos="540"/>
          <w:tab w:val="num" w:pos="567"/>
        </w:tabs>
        <w:ind w:left="567" w:hanging="567"/>
        <w:jc w:val="both"/>
        <w:rPr>
          <w:rFonts w:ascii="Tahoma" w:hAnsi="Tahoma" w:cs="Tahoma"/>
          <w:sz w:val="22"/>
          <w:szCs w:val="22"/>
          <w:lang w:val="es-ES_tradnl" w:eastAsia="es-PE"/>
        </w:rPr>
      </w:pPr>
      <w:r w:rsidRPr="006F12B4">
        <w:rPr>
          <w:rFonts w:ascii="Tahoma" w:hAnsi="Tahoma" w:cs="Tahoma"/>
          <w:sz w:val="22"/>
          <w:szCs w:val="22"/>
          <w:lang w:eastAsia="es-PE"/>
        </w:rPr>
        <w:t>A través del</w:t>
      </w:r>
      <w:r w:rsidRPr="006F12B4">
        <w:rPr>
          <w:rFonts w:ascii="Tahoma" w:hAnsi="Tahoma" w:cs="Tahoma"/>
          <w:sz w:val="22"/>
          <w:szCs w:val="22"/>
          <w:lang w:val="es-ES_tradnl" w:eastAsia="es-PE"/>
        </w:rPr>
        <w:t xml:space="preserve"> decreto de fecha </w:t>
      </w:r>
      <w:r>
        <w:rPr>
          <w:rFonts w:ascii="Tahoma" w:hAnsi="Tahoma" w:cs="Tahoma"/>
          <w:sz w:val="22"/>
          <w:szCs w:val="22"/>
          <w:lang w:val="es-ES_tradnl" w:eastAsia="es-PE"/>
        </w:rPr>
        <w:t>09 de setiembre</w:t>
      </w:r>
      <w:r w:rsidRPr="006F12B4">
        <w:rPr>
          <w:rFonts w:ascii="Tahoma" w:hAnsi="Tahoma" w:cs="Tahoma"/>
          <w:sz w:val="22"/>
          <w:szCs w:val="22"/>
          <w:lang w:val="es-ES_tradnl" w:eastAsia="es-PE"/>
        </w:rPr>
        <w:t xml:space="preserve"> de 2010, se dispuso el inicio de procedimiento sancionador contra </w:t>
      </w:r>
      <w:r w:rsidRPr="006F12B4">
        <w:rPr>
          <w:rFonts w:ascii="Tahoma" w:hAnsi="Tahoma" w:cs="Tahoma"/>
          <w:sz w:val="22"/>
          <w:szCs w:val="22"/>
        </w:rPr>
        <w:t xml:space="preserve">la Denunciada, </w:t>
      </w:r>
      <w:r w:rsidRPr="006F12B4">
        <w:rPr>
          <w:rFonts w:ascii="Tahoma" w:hAnsi="Tahoma" w:cs="Tahoma"/>
          <w:sz w:val="22"/>
          <w:szCs w:val="22"/>
          <w:lang w:val="es-ES_tradnl" w:eastAsia="es-PE"/>
        </w:rPr>
        <w:t xml:space="preserve">por supuesta responsabilidad en la presentación de la Declaración Jurada de Integrantes de Plantel Técnico y Contrato de Trabajo </w:t>
      </w:r>
      <w:r>
        <w:rPr>
          <w:rFonts w:ascii="Tahoma" w:hAnsi="Tahoma" w:cs="Tahoma"/>
          <w:sz w:val="22"/>
          <w:szCs w:val="22"/>
          <w:lang w:val="es-ES_tradnl" w:eastAsia="es-PE"/>
        </w:rPr>
        <w:t>a Plazo Indeterminado suscrito el 07 de febrero de 2008</w:t>
      </w:r>
      <w:r w:rsidRPr="006F12B4">
        <w:rPr>
          <w:rFonts w:ascii="Tahoma" w:hAnsi="Tahoma" w:cs="Tahoma"/>
          <w:sz w:val="22"/>
          <w:szCs w:val="22"/>
          <w:lang w:val="es-ES_tradnl" w:eastAsia="es-PE"/>
        </w:rPr>
        <w:t>, documentación supuestamente falsa o inexacta, presentada en el trámite de Inscripción como Ejecutor de Obras, seguido ante el Registro Nacional de Proveedores.</w:t>
      </w:r>
    </w:p>
    <w:p w:rsidR="00D70C37" w:rsidRPr="00C13D33" w:rsidRDefault="00D70C37" w:rsidP="00D70C37">
      <w:pPr>
        <w:rPr>
          <w:rFonts w:ascii="Tahoma" w:hAnsi="Tahoma" w:cs="Tahoma"/>
          <w:sz w:val="22"/>
          <w:szCs w:val="22"/>
          <w:lang w:eastAsia="es-PE"/>
        </w:rPr>
      </w:pPr>
    </w:p>
    <w:p w:rsidR="00D70C37" w:rsidRDefault="00D70C37" w:rsidP="00D70C37">
      <w:pPr>
        <w:ind w:left="567"/>
        <w:jc w:val="both"/>
        <w:rPr>
          <w:rFonts w:ascii="Tahoma" w:eastAsia="MS Mincho" w:hAnsi="Tahoma" w:cs="Tahoma"/>
          <w:sz w:val="22"/>
          <w:szCs w:val="22"/>
        </w:rPr>
      </w:pPr>
      <w:r w:rsidRPr="006F12B4">
        <w:rPr>
          <w:rFonts w:ascii="Tahoma" w:eastAsia="MS Mincho" w:hAnsi="Tahoma" w:cs="Tahoma"/>
          <w:sz w:val="22"/>
          <w:szCs w:val="22"/>
        </w:rPr>
        <w:t>Asimismo, se les otorgó un plazo de diez (10) días hábiles para que cumpla con presentar sus descargos, bajo apercibimiento de resolver el procedimiento con la documentación obrante en el expediente.</w:t>
      </w:r>
    </w:p>
    <w:p w:rsidR="00D70C37" w:rsidRDefault="00D70C37" w:rsidP="00D70C37">
      <w:pPr>
        <w:ind w:left="567"/>
        <w:jc w:val="both"/>
        <w:rPr>
          <w:rFonts w:ascii="Tahoma" w:eastAsia="MS Mincho" w:hAnsi="Tahoma" w:cs="Tahoma"/>
          <w:sz w:val="22"/>
          <w:szCs w:val="22"/>
        </w:rPr>
      </w:pPr>
    </w:p>
    <w:p w:rsidR="00D70C37" w:rsidRDefault="00D70C37" w:rsidP="00D70C37">
      <w:pPr>
        <w:numPr>
          <w:ilvl w:val="0"/>
          <w:numId w:val="5"/>
        </w:numPr>
        <w:tabs>
          <w:tab w:val="clear" w:pos="360"/>
          <w:tab w:val="num" w:pos="540"/>
          <w:tab w:val="num" w:pos="567"/>
        </w:tabs>
        <w:ind w:left="567" w:hanging="567"/>
        <w:jc w:val="both"/>
        <w:rPr>
          <w:rFonts w:ascii="Tahoma" w:hAnsi="Tahoma" w:cs="Tahoma"/>
          <w:sz w:val="22"/>
          <w:szCs w:val="22"/>
          <w:lang w:val="es-ES_tradnl" w:eastAsia="es-PE"/>
        </w:rPr>
      </w:pPr>
      <w:r>
        <w:rPr>
          <w:rFonts w:ascii="Tahoma" w:hAnsi="Tahoma" w:cs="Tahoma"/>
          <w:sz w:val="22"/>
          <w:szCs w:val="22"/>
          <w:lang w:val="es-ES_tradnl" w:eastAsia="es-PE"/>
        </w:rPr>
        <w:t>Mediante decreto de fecha 18 de enero del 2011, se dispuso notificar vía publicación en el Boletín Oficial del Diario Oficial El Peruano el decreto de fecha 09.09.2010, al ignorarse domicilio cierto de la Denunciada, de conformidad a lo establecido en el numeral 20.1.3 del artículo 20 y numeral 23.1.2 del artículo 23 de la Ley del Procedimiento Administrativo General, Ley 27444, a fin que la Denunciada cumpla con presentar sus descargos.</w:t>
      </w:r>
    </w:p>
    <w:p w:rsidR="00D70C37" w:rsidRDefault="00D70C37" w:rsidP="00D70C37">
      <w:pPr>
        <w:tabs>
          <w:tab w:val="num" w:pos="567"/>
        </w:tabs>
        <w:ind w:left="567"/>
        <w:jc w:val="both"/>
        <w:rPr>
          <w:rFonts w:ascii="Tahoma" w:hAnsi="Tahoma" w:cs="Tahoma"/>
          <w:sz w:val="22"/>
          <w:szCs w:val="22"/>
          <w:lang w:val="es-ES_tradnl" w:eastAsia="es-PE"/>
        </w:rPr>
      </w:pPr>
    </w:p>
    <w:p w:rsidR="00D70C37" w:rsidRPr="00C13D33" w:rsidRDefault="00D70C37" w:rsidP="00D70C37">
      <w:pPr>
        <w:numPr>
          <w:ilvl w:val="0"/>
          <w:numId w:val="5"/>
        </w:numPr>
        <w:tabs>
          <w:tab w:val="clear" w:pos="360"/>
          <w:tab w:val="num" w:pos="540"/>
          <w:tab w:val="num" w:pos="567"/>
        </w:tabs>
        <w:ind w:left="567" w:hanging="567"/>
        <w:jc w:val="both"/>
        <w:rPr>
          <w:rFonts w:ascii="Tahoma" w:eastAsia="MS Mincho" w:hAnsi="Tahoma" w:cs="Tahoma"/>
          <w:sz w:val="22"/>
          <w:szCs w:val="22"/>
          <w:lang w:val="es-ES_tradnl"/>
        </w:rPr>
      </w:pPr>
      <w:r w:rsidRPr="00C13D33">
        <w:rPr>
          <w:rFonts w:ascii="Tahoma" w:hAnsi="Tahoma" w:cs="Tahoma"/>
          <w:sz w:val="22"/>
          <w:szCs w:val="22"/>
          <w:lang w:val="es-ES_tradnl" w:eastAsia="es-PE"/>
        </w:rPr>
        <w:t>Con fecha 02 de febrero de 2011, se notificó en el Boletín Oficial del Diario Oficial El Peruano el decreto de fecha 09.09.2010,</w:t>
      </w:r>
      <w:r w:rsidRPr="00C13D33">
        <w:rPr>
          <w:rFonts w:ascii="Tahoma" w:eastAsia="MS Mincho" w:hAnsi="Tahoma" w:cs="Tahoma"/>
          <w:sz w:val="22"/>
          <w:szCs w:val="22"/>
        </w:rPr>
        <w:t xml:space="preserve"> otorgando un plazo de diez (10) días hábiles a la Denunciada para que cumpla con presentar sus descargos, bajo apercibimiento de resolver el procedimiento con la documentación obrante en el expediente.</w:t>
      </w:r>
    </w:p>
    <w:p w:rsidR="00D70C37" w:rsidRPr="006F12B4" w:rsidRDefault="00D70C37" w:rsidP="00D70C37">
      <w:pPr>
        <w:ind w:left="567"/>
        <w:jc w:val="both"/>
        <w:rPr>
          <w:rFonts w:ascii="Tahoma" w:eastAsia="MS Mincho" w:hAnsi="Tahoma" w:cs="Tahoma"/>
          <w:sz w:val="22"/>
          <w:szCs w:val="22"/>
        </w:rPr>
      </w:pPr>
    </w:p>
    <w:p w:rsidR="00D70C37" w:rsidRPr="006F12B4" w:rsidRDefault="00D70C37" w:rsidP="00D70C37">
      <w:pPr>
        <w:numPr>
          <w:ilvl w:val="0"/>
          <w:numId w:val="5"/>
        </w:numPr>
        <w:tabs>
          <w:tab w:val="clear" w:pos="360"/>
          <w:tab w:val="num" w:pos="540"/>
          <w:tab w:val="num" w:pos="567"/>
        </w:tabs>
        <w:ind w:left="567" w:hanging="567"/>
        <w:jc w:val="both"/>
        <w:rPr>
          <w:rFonts w:ascii="Tahoma" w:hAnsi="Tahoma" w:cs="Tahoma"/>
          <w:sz w:val="22"/>
          <w:szCs w:val="22"/>
          <w:lang w:val="es-ES_tradnl" w:eastAsia="es-PE"/>
        </w:rPr>
      </w:pPr>
      <w:r w:rsidRPr="006F12B4">
        <w:rPr>
          <w:rFonts w:ascii="Tahoma" w:hAnsi="Tahoma" w:cs="Tahoma"/>
          <w:sz w:val="22"/>
          <w:szCs w:val="22"/>
          <w:lang w:eastAsia="es-PE"/>
        </w:rPr>
        <w:t>Teniendo en cuenta que el Denunciado</w:t>
      </w:r>
      <w:r w:rsidRPr="006F12B4">
        <w:rPr>
          <w:rFonts w:ascii="Tahoma" w:hAnsi="Tahoma" w:cs="Tahoma"/>
          <w:sz w:val="22"/>
          <w:szCs w:val="22"/>
        </w:rPr>
        <w:t xml:space="preserve">, </w:t>
      </w:r>
      <w:r w:rsidRPr="006F12B4">
        <w:rPr>
          <w:rFonts w:ascii="Tahoma" w:hAnsi="Tahoma" w:cs="Tahoma"/>
          <w:sz w:val="22"/>
          <w:szCs w:val="22"/>
          <w:lang w:eastAsia="es-PE"/>
        </w:rPr>
        <w:t xml:space="preserve">no cumplió con presentar sus descargos en el plazo otorgado, </w:t>
      </w:r>
      <w:r>
        <w:rPr>
          <w:rFonts w:ascii="Tahoma" w:hAnsi="Tahoma" w:cs="Tahoma"/>
          <w:sz w:val="22"/>
          <w:szCs w:val="22"/>
          <w:lang w:eastAsia="es-PE"/>
        </w:rPr>
        <w:t>mediante decreto del 18 de febrero de 2011</w:t>
      </w:r>
      <w:r w:rsidRPr="006F12B4">
        <w:rPr>
          <w:rFonts w:ascii="Tahoma" w:hAnsi="Tahoma" w:cs="Tahoma"/>
          <w:sz w:val="22"/>
          <w:szCs w:val="22"/>
          <w:lang w:eastAsia="es-PE"/>
        </w:rPr>
        <w:t>, se hizo efectivo el apercibimiento decretado de resolver con la documentación obrante en autos y se remitió el presente expediente a la Primera Sala del Tribunal para que resuelva.</w:t>
      </w:r>
    </w:p>
    <w:p w:rsidR="00D70C37" w:rsidRPr="00EF6D22" w:rsidRDefault="00D70C37" w:rsidP="00D70C37">
      <w:pPr>
        <w:rPr>
          <w:rFonts w:ascii="Tahoma" w:hAnsi="Tahoma" w:cs="Tahoma"/>
          <w:b/>
          <w:sz w:val="22"/>
          <w:szCs w:val="22"/>
          <w:lang w:val="es-ES_tradnl"/>
        </w:rPr>
      </w:pPr>
    </w:p>
    <w:p w:rsidR="00D70C37" w:rsidRPr="00EF6D22" w:rsidRDefault="00D70C37" w:rsidP="00D70C37">
      <w:pPr>
        <w:pStyle w:val="Prrafodelista"/>
        <w:numPr>
          <w:ilvl w:val="0"/>
          <w:numId w:val="1"/>
        </w:numPr>
        <w:ind w:left="567" w:hanging="283"/>
        <w:rPr>
          <w:rFonts w:ascii="Tahoma" w:hAnsi="Tahoma" w:cs="Tahoma"/>
          <w:b/>
          <w:sz w:val="22"/>
          <w:szCs w:val="22"/>
        </w:rPr>
      </w:pPr>
      <w:r w:rsidRPr="00EF6D22">
        <w:rPr>
          <w:rFonts w:ascii="Tahoma" w:hAnsi="Tahoma" w:cs="Tahoma"/>
          <w:b/>
          <w:sz w:val="22"/>
          <w:szCs w:val="22"/>
        </w:rPr>
        <w:t>FUNDAMENTACIÓN</w:t>
      </w:r>
    </w:p>
    <w:p w:rsidR="00D70C37" w:rsidRPr="00EF6D22" w:rsidRDefault="00D70C37" w:rsidP="00D70C37">
      <w:pPr>
        <w:ind w:left="426"/>
        <w:jc w:val="both"/>
        <w:rPr>
          <w:rFonts w:ascii="Tahoma" w:hAnsi="Tahoma" w:cs="Tahoma"/>
          <w:sz w:val="22"/>
          <w:szCs w:val="22"/>
          <w:lang w:eastAsia="es-PE"/>
        </w:rPr>
      </w:pPr>
    </w:p>
    <w:p w:rsidR="00D70C37" w:rsidRPr="006F12B4" w:rsidRDefault="00D70C37" w:rsidP="00D70C37">
      <w:pPr>
        <w:pStyle w:val="Prrafodelista"/>
        <w:numPr>
          <w:ilvl w:val="0"/>
          <w:numId w:val="7"/>
        </w:numPr>
        <w:tabs>
          <w:tab w:val="clear" w:pos="360"/>
        </w:tabs>
        <w:ind w:left="567" w:hanging="567"/>
        <w:jc w:val="both"/>
        <w:rPr>
          <w:rFonts w:ascii="Tahoma" w:hAnsi="Tahoma" w:cs="Tahoma"/>
          <w:sz w:val="22"/>
          <w:szCs w:val="22"/>
          <w:lang w:eastAsia="es-PE"/>
        </w:rPr>
      </w:pPr>
      <w:r w:rsidRPr="006F12B4">
        <w:rPr>
          <w:rFonts w:ascii="Tahoma" w:hAnsi="Tahoma" w:cs="Tahoma"/>
          <w:sz w:val="22"/>
          <w:szCs w:val="22"/>
          <w:lang w:val="es-MX"/>
        </w:rPr>
        <w:t xml:space="preserve">El presente caso está referido a la supuesta responsabilidad </w:t>
      </w:r>
      <w:r w:rsidRPr="006F12B4">
        <w:rPr>
          <w:rFonts w:ascii="Tahoma" w:hAnsi="Tahoma" w:cs="Tahoma"/>
          <w:sz w:val="22"/>
          <w:szCs w:val="22"/>
        </w:rPr>
        <w:t>de</w:t>
      </w:r>
      <w:r>
        <w:rPr>
          <w:rFonts w:ascii="Tahoma" w:hAnsi="Tahoma" w:cs="Tahoma"/>
          <w:sz w:val="22"/>
          <w:szCs w:val="22"/>
        </w:rPr>
        <w:t xml:space="preserv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por haber presentado documentos falsos o inexactos durante su Inscripción como Ejecutor de Obras ante el Registro Nacional de Proveedores</w:t>
      </w:r>
      <w:r w:rsidRPr="006F12B4">
        <w:rPr>
          <w:rFonts w:ascii="Tahoma" w:hAnsi="Tahoma" w:cs="Tahoma"/>
          <w:sz w:val="22"/>
          <w:szCs w:val="22"/>
          <w:lang w:eastAsia="es-PE"/>
        </w:rPr>
        <w:t>,</w:t>
      </w:r>
      <w:r w:rsidRPr="006F12B4">
        <w:rPr>
          <w:rFonts w:ascii="Tahoma" w:hAnsi="Tahoma" w:cs="Tahoma"/>
          <w:sz w:val="22"/>
          <w:szCs w:val="22"/>
        </w:rPr>
        <w:t xml:space="preserve"> infracción tipificada en el numeral 10) del artículo 294 del Reglamento de la Ley de Contrataciones y Adquisiciones del Estado, aprobado por Decreto Supremo Nº 084-2004-PCM, en adelante el Reglamento, norma vigente durante la ocurrencia de los hechos imputados.</w:t>
      </w:r>
    </w:p>
    <w:p w:rsidR="00D70C37" w:rsidRPr="006F12B4" w:rsidRDefault="00D70C37" w:rsidP="00D70C37">
      <w:pPr>
        <w:jc w:val="both"/>
        <w:rPr>
          <w:rFonts w:ascii="Tahoma" w:hAnsi="Tahoma" w:cs="Tahoma"/>
          <w:sz w:val="22"/>
          <w:szCs w:val="22"/>
          <w:lang w:eastAsia="es-PE"/>
        </w:rPr>
      </w:pPr>
    </w:p>
    <w:p w:rsidR="00D70C37" w:rsidRPr="006F12B4" w:rsidRDefault="00D70C37" w:rsidP="00D70C37">
      <w:pPr>
        <w:ind w:left="567"/>
        <w:jc w:val="both"/>
        <w:rPr>
          <w:rFonts w:ascii="Tahoma" w:hAnsi="Tahoma" w:cs="Tahoma"/>
          <w:sz w:val="22"/>
          <w:szCs w:val="22"/>
          <w:lang w:val="es-PE"/>
        </w:rPr>
      </w:pPr>
      <w:r w:rsidRPr="006F12B4">
        <w:rPr>
          <w:rFonts w:ascii="Tahoma" w:hAnsi="Tahoma" w:cs="Tahoma"/>
          <w:sz w:val="22"/>
          <w:szCs w:val="22"/>
          <w:lang w:eastAsia="es-PE"/>
        </w:rPr>
        <w:t>Son</w:t>
      </w:r>
      <w:r w:rsidRPr="006F12B4">
        <w:rPr>
          <w:rFonts w:ascii="Tahoma" w:hAnsi="Tahoma" w:cs="Tahoma"/>
          <w:sz w:val="22"/>
          <w:szCs w:val="22"/>
          <w:lang w:val="es-PE"/>
        </w:rPr>
        <w:t xml:space="preserve"> objeto de protección administrativa de la norma antes citada los bienes jurídicos y valores contemplados en los Principios de Moralidad, establecido en el literal b) de la Ley</w:t>
      </w:r>
      <w:r w:rsidRPr="006F12B4">
        <w:rPr>
          <w:rStyle w:val="Refdenotaalpie"/>
          <w:rFonts w:ascii="Tahoma" w:hAnsi="Tahoma" w:cs="Tahoma"/>
          <w:sz w:val="22"/>
          <w:szCs w:val="22"/>
          <w:lang w:val="es-PE"/>
        </w:rPr>
        <w:footnoteReference w:id="2"/>
      </w:r>
      <w:r w:rsidRPr="006F12B4">
        <w:rPr>
          <w:rFonts w:ascii="Tahoma" w:hAnsi="Tahoma" w:cs="Tahoma"/>
          <w:sz w:val="22"/>
          <w:szCs w:val="22"/>
          <w:lang w:val="es-PE"/>
        </w:rPr>
        <w:t>; y de Presunción de Veracidad, establecido en el numeral 1.7) del artículo IV de la Ley del Procedimiento Administrativo General, Ley 27444</w:t>
      </w:r>
      <w:r w:rsidRPr="006F12B4">
        <w:rPr>
          <w:rStyle w:val="Refdenotaalpie"/>
          <w:rFonts w:ascii="Tahoma" w:hAnsi="Tahoma" w:cs="Tahoma"/>
          <w:sz w:val="22"/>
          <w:szCs w:val="22"/>
          <w:lang w:val="es-PE"/>
        </w:rPr>
        <w:footnoteReference w:id="3"/>
      </w:r>
      <w:r w:rsidRPr="006F12B4">
        <w:rPr>
          <w:rFonts w:ascii="Tahoma" w:hAnsi="Tahoma" w:cs="Tahoma"/>
          <w:sz w:val="22"/>
          <w:szCs w:val="22"/>
          <w:lang w:val="es-PE"/>
        </w:rPr>
        <w:t>, que rigen las actuaciones de los administrados en los procesos administrativos en general, y principalmente, en los de carácter especial, como son los referidos al Sistema de Contrataciones del Estado</w:t>
      </w:r>
    </w:p>
    <w:p w:rsidR="00D70C37" w:rsidRPr="006F12B4" w:rsidRDefault="00D70C37" w:rsidP="00D70C37">
      <w:pPr>
        <w:jc w:val="both"/>
        <w:rPr>
          <w:rFonts w:ascii="Tahoma" w:hAnsi="Tahoma" w:cs="Tahoma"/>
          <w:sz w:val="22"/>
          <w:szCs w:val="22"/>
          <w:lang w:eastAsia="es-PE"/>
        </w:rPr>
      </w:pPr>
    </w:p>
    <w:p w:rsidR="00D70C37" w:rsidRPr="006F12B4" w:rsidRDefault="00D70C37" w:rsidP="00D70C37">
      <w:pPr>
        <w:numPr>
          <w:ilvl w:val="0"/>
          <w:numId w:val="7"/>
        </w:numPr>
        <w:tabs>
          <w:tab w:val="clear" w:pos="360"/>
        </w:tabs>
        <w:ind w:left="567" w:hanging="567"/>
        <w:jc w:val="both"/>
        <w:rPr>
          <w:rFonts w:ascii="Tahoma" w:hAnsi="Tahoma" w:cs="Tahoma"/>
          <w:sz w:val="22"/>
          <w:szCs w:val="22"/>
          <w:lang w:eastAsia="es-PE"/>
        </w:rPr>
      </w:pPr>
      <w:r w:rsidRPr="006F12B4">
        <w:rPr>
          <w:rFonts w:ascii="Tahoma" w:hAnsi="Tahoma" w:cs="Tahoma"/>
          <w:sz w:val="22"/>
          <w:szCs w:val="22"/>
          <w:lang w:eastAsia="es-PE"/>
        </w:rPr>
        <w:t xml:space="preserve">Conforme a ello, este Tribunal, ha indicado en reiteradas ocasiones que </w:t>
      </w:r>
      <w:r w:rsidRPr="006F12B4">
        <w:rPr>
          <w:rFonts w:ascii="Tahoma" w:hAnsi="Tahoma" w:cs="Tahoma"/>
          <w:sz w:val="22"/>
          <w:szCs w:val="22"/>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6F12B4">
        <w:rPr>
          <w:rFonts w:ascii="Tahoma" w:hAnsi="Tahoma" w:cs="Tahoma"/>
          <w:sz w:val="22"/>
          <w:szCs w:val="22"/>
        </w:rPr>
        <w:t xml:space="preserve"> </w:t>
      </w:r>
    </w:p>
    <w:p w:rsidR="00D70C37" w:rsidRPr="006F12B4" w:rsidRDefault="00D70C37" w:rsidP="00D70C37">
      <w:pPr>
        <w:jc w:val="both"/>
        <w:rPr>
          <w:rFonts w:ascii="Tahoma" w:hAnsi="Tahoma" w:cs="Tahoma"/>
          <w:sz w:val="22"/>
          <w:szCs w:val="22"/>
        </w:rPr>
      </w:pPr>
    </w:p>
    <w:p w:rsidR="00D70C37" w:rsidRPr="006F12B4" w:rsidRDefault="00D70C37" w:rsidP="00D70C37">
      <w:pPr>
        <w:ind w:left="567"/>
        <w:jc w:val="both"/>
        <w:rPr>
          <w:rFonts w:ascii="Tahoma" w:hAnsi="Tahoma" w:cs="Tahoma"/>
          <w:sz w:val="22"/>
          <w:szCs w:val="22"/>
          <w:lang w:val="es-PE"/>
        </w:rPr>
      </w:pPr>
      <w:r w:rsidRPr="006F12B4">
        <w:rPr>
          <w:rFonts w:ascii="Tahoma" w:hAnsi="Tahoma" w:cs="Tahoma"/>
          <w:sz w:val="22"/>
          <w:szCs w:val="22"/>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D70C37" w:rsidRPr="006F12B4" w:rsidRDefault="00D70C37" w:rsidP="00D70C37">
      <w:pPr>
        <w:jc w:val="both"/>
        <w:rPr>
          <w:rFonts w:ascii="Tahoma" w:hAnsi="Tahoma" w:cs="Tahoma"/>
          <w:sz w:val="22"/>
          <w:szCs w:val="22"/>
          <w:lang w:eastAsia="es-PE"/>
        </w:rPr>
      </w:pPr>
    </w:p>
    <w:p w:rsidR="00D70C37" w:rsidRPr="006F12B4" w:rsidRDefault="00D70C37" w:rsidP="00D70C37">
      <w:pPr>
        <w:numPr>
          <w:ilvl w:val="0"/>
          <w:numId w:val="7"/>
        </w:numPr>
        <w:tabs>
          <w:tab w:val="clear" w:pos="360"/>
        </w:tabs>
        <w:ind w:left="567" w:hanging="567"/>
        <w:jc w:val="both"/>
        <w:rPr>
          <w:rFonts w:ascii="Tahoma" w:hAnsi="Tahoma" w:cs="Tahoma"/>
          <w:sz w:val="22"/>
          <w:szCs w:val="22"/>
        </w:rPr>
      </w:pPr>
      <w:r w:rsidRPr="006F12B4">
        <w:rPr>
          <w:rFonts w:ascii="Tahoma" w:hAnsi="Tahoma" w:cs="Tahoma"/>
          <w:sz w:val="22"/>
          <w:szCs w:val="22"/>
        </w:rPr>
        <w:t>En el caso que nos ocupa, l</w:t>
      </w:r>
      <w:r>
        <w:rPr>
          <w:rFonts w:ascii="Tahoma" w:hAnsi="Tahoma" w:cs="Tahoma"/>
          <w:sz w:val="22"/>
          <w:szCs w:val="22"/>
        </w:rPr>
        <w:t xml:space="preserve">a imputación contra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se refiere a la supuesta falsedad o inexactitud de la Declaración Jurada de Inte</w:t>
      </w:r>
      <w:r>
        <w:rPr>
          <w:rFonts w:ascii="Tahoma" w:hAnsi="Tahoma" w:cs="Tahoma"/>
          <w:sz w:val="22"/>
          <w:szCs w:val="22"/>
        </w:rPr>
        <w:t>grantes del Plantel Técnico y del</w:t>
      </w:r>
      <w:r w:rsidRPr="006F12B4">
        <w:rPr>
          <w:rFonts w:ascii="Tahoma" w:hAnsi="Tahoma" w:cs="Tahoma"/>
          <w:sz w:val="22"/>
          <w:szCs w:val="22"/>
        </w:rPr>
        <w:t xml:space="preserve"> Contrato de Trabajo </w:t>
      </w:r>
      <w:r>
        <w:rPr>
          <w:rFonts w:ascii="Tahoma" w:hAnsi="Tahoma" w:cs="Tahoma"/>
          <w:sz w:val="22"/>
          <w:szCs w:val="22"/>
        </w:rPr>
        <w:t>a Plazo Indeterminado de fecha 07</w:t>
      </w:r>
      <w:r w:rsidRPr="006F12B4">
        <w:rPr>
          <w:rFonts w:ascii="Tahoma" w:hAnsi="Tahoma" w:cs="Tahoma"/>
          <w:sz w:val="22"/>
          <w:szCs w:val="22"/>
        </w:rPr>
        <w:t xml:space="preserve"> </w:t>
      </w:r>
      <w:r>
        <w:rPr>
          <w:rFonts w:ascii="Tahoma" w:hAnsi="Tahoma" w:cs="Tahoma"/>
          <w:sz w:val="22"/>
          <w:szCs w:val="22"/>
        </w:rPr>
        <w:t>de febrero de 2008</w:t>
      </w:r>
      <w:r w:rsidRPr="006F12B4">
        <w:rPr>
          <w:rFonts w:ascii="Tahoma" w:hAnsi="Tahoma" w:cs="Tahoma"/>
          <w:sz w:val="22"/>
          <w:szCs w:val="22"/>
        </w:rPr>
        <w:t xml:space="preserve">, ambos documentos supuestamente suscritos por el </w:t>
      </w:r>
      <w:r>
        <w:rPr>
          <w:rFonts w:ascii="Tahoma" w:hAnsi="Tahoma" w:cs="Tahoma"/>
          <w:sz w:val="22"/>
          <w:szCs w:val="22"/>
        </w:rPr>
        <w:t>Ingeniero</w:t>
      </w:r>
      <w:r w:rsidRPr="006F12B4">
        <w:rPr>
          <w:rFonts w:ascii="Tahoma" w:hAnsi="Tahoma" w:cs="Tahoma"/>
          <w:sz w:val="22"/>
          <w:szCs w:val="22"/>
        </w:rPr>
        <w:t>.</w:t>
      </w:r>
    </w:p>
    <w:p w:rsidR="00D70C37" w:rsidRPr="006F12B4" w:rsidRDefault="00D70C37" w:rsidP="00D70C37">
      <w:pPr>
        <w:jc w:val="both"/>
        <w:rPr>
          <w:rFonts w:ascii="Tahoma" w:hAnsi="Tahoma" w:cs="Tahoma"/>
          <w:sz w:val="22"/>
          <w:szCs w:val="22"/>
        </w:rPr>
      </w:pPr>
    </w:p>
    <w:p w:rsidR="00D70C37" w:rsidRPr="006F12B4" w:rsidRDefault="00D70C37" w:rsidP="00D70C37">
      <w:pPr>
        <w:numPr>
          <w:ilvl w:val="0"/>
          <w:numId w:val="7"/>
        </w:numPr>
        <w:tabs>
          <w:tab w:val="clear" w:pos="360"/>
        </w:tabs>
        <w:ind w:left="567" w:hanging="567"/>
        <w:jc w:val="both"/>
        <w:rPr>
          <w:rFonts w:ascii="Tahoma" w:hAnsi="Tahoma" w:cs="Tahoma"/>
          <w:sz w:val="22"/>
          <w:szCs w:val="22"/>
        </w:rPr>
      </w:pPr>
      <w:r w:rsidRPr="006F12B4">
        <w:rPr>
          <w:rFonts w:ascii="Tahoma" w:hAnsi="Tahoma" w:cs="Tahoma"/>
          <w:sz w:val="22"/>
          <w:szCs w:val="22"/>
          <w:lang w:eastAsia="es-PE"/>
        </w:rPr>
        <w:t>Ahora bien, de la revisión de la documentación que obra en autos, se aprecian los siguientes documentos:</w:t>
      </w:r>
    </w:p>
    <w:p w:rsidR="00D70C37" w:rsidRPr="006F12B4" w:rsidRDefault="00D70C37" w:rsidP="00D70C37">
      <w:pPr>
        <w:jc w:val="both"/>
        <w:rPr>
          <w:rFonts w:ascii="Tahoma" w:hAnsi="Tahoma" w:cs="Tahoma"/>
          <w:sz w:val="22"/>
          <w:szCs w:val="22"/>
        </w:rPr>
      </w:pPr>
    </w:p>
    <w:p w:rsidR="00D70C37" w:rsidRDefault="00D70C37" w:rsidP="00D70C37">
      <w:pPr>
        <w:pStyle w:val="Prrafodelista"/>
        <w:numPr>
          <w:ilvl w:val="0"/>
          <w:numId w:val="8"/>
        </w:numPr>
        <w:ind w:left="993"/>
        <w:jc w:val="both"/>
        <w:rPr>
          <w:rFonts w:ascii="Tahoma" w:hAnsi="Tahoma" w:cs="Tahoma"/>
          <w:sz w:val="22"/>
          <w:szCs w:val="22"/>
        </w:rPr>
      </w:pPr>
      <w:r>
        <w:rPr>
          <w:rFonts w:ascii="Tahoma" w:hAnsi="Tahoma" w:cs="Tahoma"/>
          <w:sz w:val="22"/>
          <w:szCs w:val="22"/>
          <w:lang w:val="es-ES"/>
        </w:rPr>
        <w:t>L</w:t>
      </w:r>
      <w:r>
        <w:rPr>
          <w:rFonts w:ascii="Tahoma" w:hAnsi="Tahoma" w:cs="Tahoma"/>
          <w:sz w:val="22"/>
          <w:szCs w:val="22"/>
        </w:rPr>
        <w:t>a Declaración Jurada Notarial de fecha 16 de abril de 2008</w:t>
      </w:r>
      <w:r w:rsidRPr="006F12B4">
        <w:rPr>
          <w:rFonts w:ascii="Tahoma" w:hAnsi="Tahoma" w:cs="Tahoma"/>
          <w:sz w:val="22"/>
          <w:szCs w:val="22"/>
        </w:rPr>
        <w:t xml:space="preserve">, mediante la cual el </w:t>
      </w:r>
      <w:r>
        <w:rPr>
          <w:rFonts w:ascii="Tahoma" w:hAnsi="Tahoma" w:cs="Tahoma"/>
          <w:sz w:val="22"/>
          <w:szCs w:val="22"/>
        </w:rPr>
        <w:t xml:space="preserve">Ingeniero </w:t>
      </w:r>
      <w:r w:rsidRPr="006F12B4">
        <w:rPr>
          <w:rFonts w:ascii="Tahoma" w:hAnsi="Tahoma" w:cs="Tahoma"/>
          <w:sz w:val="22"/>
          <w:szCs w:val="22"/>
        </w:rPr>
        <w:t xml:space="preserve">informó que </w:t>
      </w:r>
      <w:r>
        <w:rPr>
          <w:rFonts w:ascii="Tahoma" w:hAnsi="Tahoma" w:cs="Tahoma"/>
          <w:sz w:val="22"/>
          <w:szCs w:val="22"/>
        </w:rPr>
        <w:t>no ha suscrito contrato alguno con la Denunciada.</w:t>
      </w:r>
    </w:p>
    <w:p w:rsidR="00D70C37" w:rsidRDefault="00D70C37" w:rsidP="00D70C37">
      <w:pPr>
        <w:pStyle w:val="Prrafodelista"/>
        <w:ind w:left="993"/>
        <w:jc w:val="both"/>
        <w:rPr>
          <w:rFonts w:ascii="Tahoma" w:hAnsi="Tahoma" w:cs="Tahoma"/>
          <w:sz w:val="22"/>
          <w:szCs w:val="22"/>
        </w:rPr>
      </w:pPr>
    </w:p>
    <w:p w:rsidR="00D70C37" w:rsidRPr="006F12B4" w:rsidRDefault="00D70C37" w:rsidP="00D70C37">
      <w:pPr>
        <w:pStyle w:val="Prrafodelista"/>
        <w:numPr>
          <w:ilvl w:val="0"/>
          <w:numId w:val="8"/>
        </w:numPr>
        <w:ind w:left="993"/>
        <w:jc w:val="both"/>
        <w:rPr>
          <w:rFonts w:ascii="Tahoma" w:hAnsi="Tahoma" w:cs="Tahoma"/>
          <w:sz w:val="22"/>
          <w:szCs w:val="22"/>
        </w:rPr>
      </w:pPr>
      <w:r>
        <w:rPr>
          <w:rFonts w:ascii="Tahoma" w:hAnsi="Tahoma" w:cs="Tahoma"/>
          <w:sz w:val="22"/>
          <w:szCs w:val="22"/>
        </w:rPr>
        <w:t xml:space="preserve">Carta de fecha 03 de julio de 2008, mediante la cual el Ingeniero informó que no la firma que aparece en la </w:t>
      </w:r>
      <w:r w:rsidRPr="006F12B4">
        <w:rPr>
          <w:rFonts w:ascii="Tahoma" w:hAnsi="Tahoma" w:cs="Tahoma"/>
          <w:sz w:val="22"/>
          <w:szCs w:val="22"/>
        </w:rPr>
        <w:t xml:space="preserve">Declaración Jurada de Integrantes del Plantel Técnico y en Contrato de Trabajo </w:t>
      </w:r>
      <w:r>
        <w:rPr>
          <w:rFonts w:ascii="Tahoma" w:hAnsi="Tahoma" w:cs="Tahoma"/>
          <w:sz w:val="22"/>
          <w:szCs w:val="22"/>
        </w:rPr>
        <w:t>a Plazo Indeterminado de fecha 07</w:t>
      </w:r>
      <w:r w:rsidRPr="006F12B4">
        <w:rPr>
          <w:rFonts w:ascii="Tahoma" w:hAnsi="Tahoma" w:cs="Tahoma"/>
          <w:sz w:val="22"/>
          <w:szCs w:val="22"/>
        </w:rPr>
        <w:t xml:space="preserve"> </w:t>
      </w:r>
      <w:r>
        <w:rPr>
          <w:rFonts w:ascii="Tahoma" w:hAnsi="Tahoma" w:cs="Tahoma"/>
          <w:sz w:val="22"/>
          <w:szCs w:val="22"/>
        </w:rPr>
        <w:lastRenderedPageBreak/>
        <w:t>de febrero de 2008, presentada por la Denunciada no corresponde a su firma.</w:t>
      </w:r>
    </w:p>
    <w:p w:rsidR="00D70C37" w:rsidRPr="006F12B4" w:rsidRDefault="00D70C37" w:rsidP="00D70C37">
      <w:pPr>
        <w:pStyle w:val="Prrafodelista"/>
        <w:ind w:left="993"/>
        <w:jc w:val="both"/>
        <w:rPr>
          <w:rFonts w:ascii="Tahoma" w:hAnsi="Tahoma" w:cs="Tahoma"/>
          <w:sz w:val="22"/>
          <w:szCs w:val="22"/>
        </w:rPr>
      </w:pPr>
    </w:p>
    <w:p w:rsidR="00D70C37" w:rsidRPr="0095171B" w:rsidRDefault="00D70C37" w:rsidP="00D70C37">
      <w:pPr>
        <w:pStyle w:val="Prrafodelista"/>
        <w:numPr>
          <w:ilvl w:val="0"/>
          <w:numId w:val="8"/>
        </w:numPr>
        <w:ind w:left="993"/>
        <w:jc w:val="both"/>
        <w:rPr>
          <w:rFonts w:ascii="Tahoma" w:hAnsi="Tahoma" w:cs="Tahoma"/>
          <w:sz w:val="22"/>
          <w:szCs w:val="22"/>
        </w:rPr>
      </w:pPr>
      <w:r>
        <w:rPr>
          <w:rFonts w:ascii="Tahoma" w:hAnsi="Tahoma" w:cs="Tahoma"/>
          <w:sz w:val="22"/>
          <w:szCs w:val="22"/>
        </w:rPr>
        <w:t>Dictamen Pericial en Grafotecnico</w:t>
      </w:r>
      <w:r w:rsidRPr="0095171B">
        <w:rPr>
          <w:rFonts w:ascii="Tahoma" w:hAnsi="Tahoma" w:cs="Tahoma"/>
          <w:sz w:val="22"/>
          <w:szCs w:val="22"/>
        </w:rPr>
        <w:t xml:space="preserve"> de fecha 08 de setiembre de 2008, mediante el cual se llegó a la conclusión que las firmas atribuidas a Rene Bladimir Reynalte Palacios, que aparecen trazadas al final del contrato de plazo indeterminado de fecha 07 de febrero de 2008 y la Declaración Jurada de Integrantes del Plantel Técnico, constituyen firmas no homólogas en relación a sus muestras genuinas del cotejo, según las consideraciones expuestas en el presente examen.</w:t>
      </w:r>
    </w:p>
    <w:p w:rsidR="00D70C37" w:rsidRPr="00D01799" w:rsidRDefault="00D70C37" w:rsidP="00D70C37">
      <w:pPr>
        <w:ind w:left="567"/>
        <w:jc w:val="both"/>
        <w:rPr>
          <w:rFonts w:ascii="Tahoma" w:hAnsi="Tahoma" w:cs="Tahoma"/>
          <w:sz w:val="22"/>
          <w:szCs w:val="22"/>
          <w:lang w:val="es-ES_tradnl"/>
        </w:rPr>
      </w:pPr>
    </w:p>
    <w:p w:rsidR="00D70C37" w:rsidRPr="006F12B4" w:rsidRDefault="00D70C37" w:rsidP="00D70C37">
      <w:pPr>
        <w:numPr>
          <w:ilvl w:val="0"/>
          <w:numId w:val="7"/>
        </w:numPr>
        <w:tabs>
          <w:tab w:val="clear" w:pos="360"/>
        </w:tabs>
        <w:ind w:left="567" w:hanging="567"/>
        <w:jc w:val="both"/>
        <w:rPr>
          <w:rFonts w:ascii="Tahoma" w:hAnsi="Tahoma" w:cs="Tahoma"/>
          <w:sz w:val="22"/>
          <w:szCs w:val="22"/>
        </w:rPr>
      </w:pPr>
      <w:r>
        <w:rPr>
          <w:rFonts w:ascii="Tahoma" w:hAnsi="Tahoma" w:cs="Tahoma"/>
          <w:sz w:val="22"/>
          <w:szCs w:val="22"/>
        </w:rPr>
        <w:t>De lo señalado anteriormente, se puede advertir que los documentos cuestionados, a saber</w:t>
      </w:r>
      <w:r w:rsidRPr="006F12B4">
        <w:rPr>
          <w:rFonts w:ascii="Tahoma" w:hAnsi="Tahoma" w:cs="Tahoma"/>
          <w:sz w:val="22"/>
          <w:szCs w:val="22"/>
        </w:rPr>
        <w:t xml:space="preserve"> la Declaración Jurada de Inte</w:t>
      </w:r>
      <w:r>
        <w:rPr>
          <w:rFonts w:ascii="Tahoma" w:hAnsi="Tahoma" w:cs="Tahoma"/>
          <w:sz w:val="22"/>
          <w:szCs w:val="22"/>
        </w:rPr>
        <w:t>grantes del Plantel Técnico y del</w:t>
      </w:r>
      <w:r w:rsidRPr="006F12B4">
        <w:rPr>
          <w:rFonts w:ascii="Tahoma" w:hAnsi="Tahoma" w:cs="Tahoma"/>
          <w:sz w:val="22"/>
          <w:szCs w:val="22"/>
        </w:rPr>
        <w:t xml:space="preserve"> Contrato de Trabajo </w:t>
      </w:r>
      <w:r>
        <w:rPr>
          <w:rFonts w:ascii="Tahoma" w:hAnsi="Tahoma" w:cs="Tahoma"/>
          <w:sz w:val="22"/>
          <w:szCs w:val="22"/>
        </w:rPr>
        <w:t>a Plazo Indeterminado de fecha 07</w:t>
      </w:r>
      <w:r w:rsidRPr="006F12B4">
        <w:rPr>
          <w:rFonts w:ascii="Tahoma" w:hAnsi="Tahoma" w:cs="Tahoma"/>
          <w:sz w:val="22"/>
          <w:szCs w:val="22"/>
        </w:rPr>
        <w:t xml:space="preserve"> </w:t>
      </w:r>
      <w:r>
        <w:rPr>
          <w:rFonts w:ascii="Tahoma" w:hAnsi="Tahoma" w:cs="Tahoma"/>
          <w:sz w:val="22"/>
          <w:szCs w:val="22"/>
        </w:rPr>
        <w:t>de febrero de 2008 son falsos, toda vez que el supuesto emisor de las firmas que contienen dichos decretos, ha señalado de manera expresa que dichas firmas no le corresponden</w:t>
      </w:r>
      <w:r w:rsidRPr="006F12B4">
        <w:rPr>
          <w:rFonts w:ascii="Tahoma" w:hAnsi="Tahoma" w:cs="Tahoma"/>
          <w:sz w:val="22"/>
          <w:szCs w:val="22"/>
        </w:rPr>
        <w:t>. Asimismo,</w:t>
      </w:r>
      <w:r>
        <w:rPr>
          <w:rFonts w:ascii="Tahoma" w:hAnsi="Tahoma" w:cs="Tahoma"/>
          <w:sz w:val="22"/>
          <w:szCs w:val="22"/>
        </w:rPr>
        <w:t xml:space="preserve"> el Dictamen Pericial Grafotécnico</w:t>
      </w:r>
      <w:r w:rsidRPr="006F12B4">
        <w:rPr>
          <w:rFonts w:ascii="Tahoma" w:hAnsi="Tahoma" w:cs="Tahoma"/>
          <w:sz w:val="22"/>
          <w:szCs w:val="22"/>
        </w:rPr>
        <w:t xml:space="preserve"> ha concluido</w:t>
      </w:r>
      <w:r>
        <w:rPr>
          <w:rFonts w:ascii="Tahoma" w:hAnsi="Tahoma" w:cs="Tahoma"/>
          <w:sz w:val="22"/>
          <w:szCs w:val="22"/>
        </w:rPr>
        <w:t xml:space="preserve"> que las firmas que contienen los documentos cuestionados no son homologas en relación a sus muestras genuinas del cotejo.</w:t>
      </w:r>
    </w:p>
    <w:p w:rsidR="00D70C37" w:rsidRPr="006F12B4" w:rsidRDefault="00D70C37" w:rsidP="00D70C37">
      <w:pPr>
        <w:ind w:left="567"/>
        <w:jc w:val="both"/>
        <w:rPr>
          <w:rFonts w:ascii="Tahoma" w:hAnsi="Tahoma" w:cs="Tahoma"/>
          <w:sz w:val="22"/>
          <w:szCs w:val="22"/>
        </w:rPr>
      </w:pPr>
    </w:p>
    <w:p w:rsidR="00D70C37" w:rsidRPr="006F12B4" w:rsidRDefault="00D70C37" w:rsidP="00D70C37">
      <w:pPr>
        <w:numPr>
          <w:ilvl w:val="0"/>
          <w:numId w:val="7"/>
        </w:numPr>
        <w:tabs>
          <w:tab w:val="clear" w:pos="360"/>
        </w:tabs>
        <w:ind w:left="567" w:hanging="567"/>
        <w:jc w:val="both"/>
        <w:rPr>
          <w:rFonts w:ascii="Tahoma" w:hAnsi="Tahoma" w:cs="Tahoma"/>
          <w:sz w:val="22"/>
          <w:szCs w:val="22"/>
        </w:rPr>
      </w:pPr>
      <w:r w:rsidRPr="006F12B4">
        <w:rPr>
          <w:rFonts w:ascii="Tahoma" w:hAnsi="Tahoma" w:cs="Tahoma"/>
          <w:sz w:val="22"/>
          <w:szCs w:val="22"/>
        </w:rPr>
        <w:t>Teniendo en cuen</w:t>
      </w:r>
      <w:r>
        <w:rPr>
          <w:rFonts w:ascii="Tahoma" w:hAnsi="Tahoma" w:cs="Tahoma"/>
          <w:sz w:val="22"/>
          <w:szCs w:val="22"/>
        </w:rPr>
        <w:t>ta lo señalado anteriormente</w:t>
      </w:r>
      <w:r w:rsidRPr="006F12B4">
        <w:rPr>
          <w:rFonts w:ascii="Tahoma" w:hAnsi="Tahoma" w:cs="Tahoma"/>
          <w:sz w:val="22"/>
          <w:szCs w:val="22"/>
        </w:rPr>
        <w:t xml:space="preserve">, </w:t>
      </w:r>
      <w:r>
        <w:rPr>
          <w:rFonts w:ascii="Tahoma" w:hAnsi="Tahoma" w:cs="Tahoma"/>
          <w:sz w:val="22"/>
          <w:szCs w:val="22"/>
        </w:rPr>
        <w:t>y considerando que la Denunciada no ha desvirtuado</w:t>
      </w:r>
      <w:r w:rsidRPr="006F12B4">
        <w:rPr>
          <w:rFonts w:ascii="Tahoma" w:hAnsi="Tahoma" w:cs="Tahoma"/>
          <w:sz w:val="22"/>
          <w:szCs w:val="22"/>
        </w:rPr>
        <w:t xml:space="preserve"> </w:t>
      </w:r>
      <w:r>
        <w:rPr>
          <w:rFonts w:ascii="Tahoma" w:hAnsi="Tahoma" w:cs="Tahoma"/>
          <w:sz w:val="22"/>
          <w:szCs w:val="22"/>
        </w:rPr>
        <w:t xml:space="preserve">las imputaciones realizadas en su contra, este Colegiado considerada que la Denunciada </w:t>
      </w:r>
      <w:r w:rsidRPr="006F12B4">
        <w:rPr>
          <w:rFonts w:ascii="Tahoma" w:hAnsi="Tahoma" w:cs="Tahoma"/>
          <w:sz w:val="22"/>
          <w:szCs w:val="22"/>
        </w:rPr>
        <w:t>ha incurrido en la causal de infracción tipificada en el numeral 10 del artículo 294 del Reglamento, consecuentemente, existe mérito suficiente para imponerle la correspondiente sanción administrativa.</w:t>
      </w:r>
    </w:p>
    <w:p w:rsidR="00D70C37" w:rsidRPr="006F12B4" w:rsidRDefault="00D70C37" w:rsidP="00D70C37">
      <w:pPr>
        <w:ind w:left="567"/>
        <w:jc w:val="both"/>
        <w:rPr>
          <w:rFonts w:ascii="Tahoma" w:hAnsi="Tahoma" w:cs="Tahoma"/>
          <w:sz w:val="22"/>
          <w:szCs w:val="22"/>
        </w:rPr>
      </w:pPr>
    </w:p>
    <w:p w:rsidR="00D70C37" w:rsidRPr="006F12B4" w:rsidRDefault="00D70C37" w:rsidP="00D70C37">
      <w:pPr>
        <w:numPr>
          <w:ilvl w:val="0"/>
          <w:numId w:val="7"/>
        </w:numPr>
        <w:tabs>
          <w:tab w:val="clear" w:pos="360"/>
        </w:tabs>
        <w:ind w:left="567" w:hanging="567"/>
        <w:jc w:val="both"/>
        <w:rPr>
          <w:rFonts w:ascii="Tahoma" w:hAnsi="Tahoma" w:cs="Tahoma"/>
          <w:sz w:val="22"/>
          <w:szCs w:val="22"/>
        </w:rPr>
      </w:pPr>
      <w:r w:rsidRPr="006F12B4">
        <w:rPr>
          <w:rFonts w:ascii="Tahoma" w:hAnsi="Tahoma" w:cs="Tahoma"/>
          <w:sz w:val="22"/>
          <w:szCs w:val="22"/>
        </w:rPr>
        <w:t>En relación a la determinación de la sanción imponible, el artículo 294 del Reglamento establece que los postores que presenten documentos falsos o inexactos serán sancionados con inhabilitación temporal para contratar con el Estado por un periodo no menor de tres (3) meses ni mayor de un (1) año</w:t>
      </w:r>
      <w:r w:rsidRPr="006F12B4">
        <w:rPr>
          <w:rFonts w:ascii="Tahoma" w:hAnsi="Tahoma" w:cs="Tahoma"/>
          <w:color w:val="000000" w:themeColor="text1"/>
          <w:sz w:val="22"/>
          <w:szCs w:val="22"/>
        </w:rPr>
        <w:t xml:space="preserve">, </w:t>
      </w:r>
      <w:r w:rsidRPr="006F12B4">
        <w:rPr>
          <w:rFonts w:ascii="Tahoma" w:hAnsi="Tahoma" w:cs="Tahoma"/>
          <w:sz w:val="22"/>
          <w:szCs w:val="22"/>
        </w:rPr>
        <w:t>la cual deberá imponerse atendiendo a los criterios para graduar la sanción establecidos en el artículo 302 del citado cuerpo normativo</w:t>
      </w:r>
      <w:r w:rsidRPr="006F12B4">
        <w:rPr>
          <w:rStyle w:val="Refdenotaalpie"/>
          <w:rFonts w:ascii="Tahoma" w:hAnsi="Tahoma" w:cs="Tahoma"/>
          <w:sz w:val="22"/>
          <w:szCs w:val="22"/>
        </w:rPr>
        <w:footnoteReference w:id="4"/>
      </w:r>
    </w:p>
    <w:p w:rsidR="00D70C37" w:rsidRPr="006F12B4" w:rsidRDefault="00D70C37" w:rsidP="00D70C37">
      <w:pPr>
        <w:pStyle w:val="Prrafodelista"/>
        <w:rPr>
          <w:rFonts w:ascii="Tahoma" w:hAnsi="Tahoma" w:cs="Tahoma"/>
          <w:sz w:val="22"/>
          <w:szCs w:val="22"/>
          <w:lang w:val="es-ES"/>
        </w:rPr>
      </w:pPr>
    </w:p>
    <w:p w:rsidR="00D70C37" w:rsidRPr="006F12B4" w:rsidRDefault="00D70C37" w:rsidP="00D70C37">
      <w:pPr>
        <w:pStyle w:val="Prrafodelista"/>
        <w:numPr>
          <w:ilvl w:val="0"/>
          <w:numId w:val="7"/>
        </w:numPr>
        <w:tabs>
          <w:tab w:val="clear" w:pos="360"/>
        </w:tabs>
        <w:ind w:left="567" w:hanging="567"/>
        <w:jc w:val="both"/>
        <w:rPr>
          <w:rFonts w:ascii="Tahoma" w:hAnsi="Tahoma" w:cs="Tahoma"/>
          <w:sz w:val="22"/>
          <w:szCs w:val="22"/>
        </w:rPr>
      </w:pPr>
      <w:r w:rsidRPr="006F12B4">
        <w:rPr>
          <w:rFonts w:ascii="Tahoma" w:hAnsi="Tahoma" w:cs="Tahoma"/>
          <w:sz w:val="22"/>
          <w:szCs w:val="22"/>
        </w:rPr>
        <w:lastRenderedPageBreak/>
        <w:t>Sin perjuicio de ello, el Principio de Razonabilidad</w:t>
      </w:r>
      <w:r w:rsidRPr="006F12B4">
        <w:rPr>
          <w:rFonts w:ascii="Tahoma" w:hAnsi="Tahoma" w:cs="Tahoma"/>
          <w:sz w:val="22"/>
          <w:szCs w:val="22"/>
          <w:vertAlign w:val="superscript"/>
        </w:rPr>
        <w:footnoteReference w:id="5"/>
      </w:r>
      <w:r w:rsidRPr="006F12B4">
        <w:rPr>
          <w:rFonts w:ascii="Tahoma" w:hAnsi="Tahoma" w:cs="Tahoma"/>
          <w:sz w:val="22"/>
          <w:szCs w:val="22"/>
          <w:vertAlign w:val="superscript"/>
        </w:rPr>
        <w:t xml:space="preserve"> </w:t>
      </w:r>
      <w:r w:rsidRPr="006F12B4">
        <w:rPr>
          <w:rFonts w:ascii="Tahoma" w:hAnsi="Tahoma" w:cs="Tahoma"/>
          <w:sz w:val="22"/>
          <w:szCs w:val="22"/>
        </w:rPr>
        <w:t xml:space="preserve">previsto en el numeral 3 del artículo 230 de la Ley № 27444 aconseja que las sanciones no deben ser desproporcionadas y que deben guardar relación con la conducta a reprimir, atendiendo a la necesidad de que las empresas no deban verse privadas de su derecho de proveer al Estado más allá de lo estrictamente necesario para satisfacer los fines de la sanción, criterios que serán tomados en cuenta al momento de fijar la </w:t>
      </w:r>
      <w:r>
        <w:rPr>
          <w:rFonts w:ascii="Tahoma" w:hAnsi="Tahoma" w:cs="Tahoma"/>
          <w:sz w:val="22"/>
          <w:szCs w:val="22"/>
        </w:rPr>
        <w:t>sanción a imponerse al Denunciado</w:t>
      </w:r>
      <w:r w:rsidRPr="006F12B4">
        <w:rPr>
          <w:rFonts w:ascii="Tahoma" w:hAnsi="Tahoma" w:cs="Tahoma"/>
          <w:sz w:val="22"/>
          <w:szCs w:val="22"/>
        </w:rPr>
        <w:t>.</w:t>
      </w:r>
    </w:p>
    <w:p w:rsidR="00D70C37" w:rsidRPr="006F12B4" w:rsidRDefault="00D70C37" w:rsidP="00D70C37">
      <w:pPr>
        <w:pStyle w:val="Prrafodelista"/>
        <w:rPr>
          <w:rFonts w:ascii="Tahoma" w:hAnsi="Tahoma" w:cs="Tahoma"/>
          <w:sz w:val="22"/>
          <w:szCs w:val="22"/>
        </w:rPr>
      </w:pPr>
    </w:p>
    <w:p w:rsidR="00D70C37" w:rsidRDefault="00D70C37" w:rsidP="00D70C37">
      <w:pPr>
        <w:numPr>
          <w:ilvl w:val="0"/>
          <w:numId w:val="7"/>
        </w:numPr>
        <w:tabs>
          <w:tab w:val="clear" w:pos="360"/>
        </w:tabs>
        <w:ind w:left="567" w:hanging="567"/>
        <w:jc w:val="both"/>
        <w:rPr>
          <w:rFonts w:ascii="Tahoma" w:hAnsi="Tahoma" w:cs="Tahoma"/>
          <w:sz w:val="22"/>
          <w:szCs w:val="22"/>
        </w:rPr>
      </w:pPr>
      <w:r w:rsidRPr="006F12B4">
        <w:rPr>
          <w:rFonts w:ascii="Tahoma" w:hAnsi="Tahoma" w:cs="Tahoma"/>
          <w:sz w:val="22"/>
          <w:szCs w:val="22"/>
        </w:rPr>
        <w:t>De todo ello, debe tenerse en cuenta la conducta procesal del Denunciado</w:t>
      </w:r>
      <w:r>
        <w:rPr>
          <w:rFonts w:ascii="Tahoma" w:hAnsi="Tahoma" w:cs="Tahoma"/>
          <w:sz w:val="22"/>
          <w:szCs w:val="22"/>
        </w:rPr>
        <w:t>, toda vez</w:t>
      </w:r>
      <w:r w:rsidRPr="006F12B4">
        <w:rPr>
          <w:rFonts w:ascii="Tahoma" w:hAnsi="Tahoma" w:cs="Tahoma"/>
          <w:sz w:val="22"/>
          <w:szCs w:val="22"/>
        </w:rPr>
        <w:t xml:space="preserve"> </w:t>
      </w:r>
      <w:r>
        <w:rPr>
          <w:rFonts w:ascii="Tahoma" w:hAnsi="Tahoma" w:cs="Tahoma"/>
          <w:sz w:val="22"/>
          <w:szCs w:val="22"/>
        </w:rPr>
        <w:t>que</w:t>
      </w:r>
      <w:r w:rsidRPr="006F12B4">
        <w:rPr>
          <w:rFonts w:ascii="Tahoma" w:hAnsi="Tahoma" w:cs="Tahoma"/>
          <w:sz w:val="22"/>
          <w:szCs w:val="22"/>
        </w:rPr>
        <w:t xml:space="preserve"> no</w:t>
      </w:r>
      <w:r>
        <w:rPr>
          <w:rFonts w:ascii="Tahoma" w:hAnsi="Tahoma" w:cs="Tahoma"/>
          <w:sz w:val="22"/>
          <w:szCs w:val="22"/>
        </w:rPr>
        <w:t xml:space="preserve"> ha cumplido con presentar sus descargos, a pesar de haber sido debidamente notificado mediante el </w:t>
      </w:r>
      <w:r w:rsidRPr="00C13D33">
        <w:rPr>
          <w:rFonts w:ascii="Tahoma" w:hAnsi="Tahoma" w:cs="Tahoma"/>
          <w:sz w:val="22"/>
          <w:szCs w:val="22"/>
          <w:lang w:val="es-ES_tradnl" w:eastAsia="es-PE"/>
        </w:rPr>
        <w:t>Boletín Oficial del Diario Oficial El Peruano</w:t>
      </w:r>
      <w:r>
        <w:rPr>
          <w:rFonts w:ascii="Tahoma" w:hAnsi="Tahoma" w:cs="Tahoma"/>
          <w:sz w:val="22"/>
          <w:szCs w:val="22"/>
          <w:lang w:val="es-ES_tradnl" w:eastAsia="es-PE"/>
        </w:rPr>
        <w:t xml:space="preserve"> de fecha 02 de febrero del 2011</w:t>
      </w:r>
      <w:r w:rsidRPr="006F12B4">
        <w:rPr>
          <w:rFonts w:ascii="Tahoma" w:hAnsi="Tahoma" w:cs="Tahoma"/>
          <w:sz w:val="22"/>
          <w:szCs w:val="22"/>
        </w:rPr>
        <w:t>.</w:t>
      </w:r>
    </w:p>
    <w:p w:rsidR="00D70C37" w:rsidRDefault="00D70C37" w:rsidP="00D70C37">
      <w:pPr>
        <w:pStyle w:val="Prrafodelista"/>
        <w:rPr>
          <w:rFonts w:ascii="Tahoma" w:hAnsi="Tahoma" w:cs="Tahoma"/>
          <w:sz w:val="22"/>
          <w:szCs w:val="22"/>
        </w:rPr>
      </w:pPr>
    </w:p>
    <w:p w:rsidR="00D70C37" w:rsidRPr="006E032A" w:rsidRDefault="00D70C37" w:rsidP="00D70C37">
      <w:pPr>
        <w:pStyle w:val="Prrafodelista"/>
        <w:numPr>
          <w:ilvl w:val="0"/>
          <w:numId w:val="7"/>
        </w:numPr>
        <w:tabs>
          <w:tab w:val="clear" w:pos="360"/>
        </w:tabs>
        <w:ind w:left="567" w:hanging="567"/>
        <w:jc w:val="both"/>
        <w:rPr>
          <w:rFonts w:ascii="Tahoma" w:hAnsi="Tahoma" w:cs="Tahoma"/>
          <w:b/>
          <w:bCs/>
          <w:shadow/>
          <w:sz w:val="22"/>
          <w:szCs w:val="22"/>
        </w:rPr>
      </w:pPr>
      <w:r w:rsidRPr="006E032A">
        <w:rPr>
          <w:rFonts w:ascii="Tahoma" w:hAnsi="Tahoma" w:cs="Tahoma"/>
          <w:sz w:val="22"/>
          <w:szCs w:val="22"/>
        </w:rPr>
        <w:t>Asimismo, se debe tener en cuenta que el Denunciado ha cometido una infracción grave, toda vez que la inclusión de los documentos falsos han contravenido los P</w:t>
      </w:r>
      <w:r w:rsidRPr="006E032A">
        <w:rPr>
          <w:rFonts w:ascii="Tahoma" w:hAnsi="Tahoma" w:cs="Tahoma"/>
          <w:sz w:val="22"/>
          <w:szCs w:val="22"/>
          <w:lang w:val="es-PE"/>
        </w:rPr>
        <w:t>rincipios de Moralidad, establecido en el literal b) de la Ley</w:t>
      </w:r>
      <w:r w:rsidRPr="006E032A">
        <w:rPr>
          <w:rStyle w:val="Refdenotaalpie"/>
          <w:rFonts w:ascii="Tahoma" w:hAnsi="Tahoma" w:cs="Tahoma"/>
          <w:sz w:val="22"/>
          <w:szCs w:val="22"/>
          <w:lang w:val="es-PE"/>
        </w:rPr>
        <w:footnoteReference w:id="6"/>
      </w:r>
      <w:r w:rsidRPr="006E032A">
        <w:rPr>
          <w:rFonts w:ascii="Tahoma" w:hAnsi="Tahoma" w:cs="Tahoma"/>
          <w:sz w:val="22"/>
          <w:szCs w:val="22"/>
          <w:lang w:val="es-PE"/>
        </w:rPr>
        <w:t>; y de Presunción de Veracidad, establecido en el numeral 1.7) del artículo IV de la Ley del Procedimiento Administrativo General, Ley 27444</w:t>
      </w:r>
      <w:r w:rsidRPr="006E032A">
        <w:rPr>
          <w:rStyle w:val="Refdenotaalpie"/>
          <w:rFonts w:ascii="Tahoma" w:hAnsi="Tahoma" w:cs="Tahoma"/>
          <w:sz w:val="22"/>
          <w:szCs w:val="22"/>
          <w:lang w:val="es-PE"/>
        </w:rPr>
        <w:footnoteReference w:id="7"/>
      </w:r>
      <w:r w:rsidRPr="006E032A">
        <w:rPr>
          <w:rFonts w:ascii="Tahoma" w:hAnsi="Tahoma" w:cs="Tahoma"/>
          <w:sz w:val="22"/>
          <w:szCs w:val="22"/>
          <w:lang w:val="es-PE"/>
        </w:rPr>
        <w:t>, principios</w:t>
      </w:r>
      <w:r>
        <w:rPr>
          <w:rFonts w:ascii="Tahoma" w:hAnsi="Tahoma" w:cs="Tahoma"/>
          <w:sz w:val="22"/>
          <w:szCs w:val="22"/>
          <w:lang w:val="es-PE"/>
        </w:rPr>
        <w:t xml:space="preserve"> que deben regir en </w:t>
      </w:r>
      <w:r w:rsidRPr="006E032A">
        <w:rPr>
          <w:rFonts w:ascii="Tahoma" w:hAnsi="Tahoma" w:cs="Tahoma"/>
          <w:sz w:val="22"/>
          <w:szCs w:val="22"/>
          <w:lang w:val="es-PE"/>
        </w:rPr>
        <w:t>el Sistema de Contrataciones del Estado</w:t>
      </w:r>
      <w:r w:rsidRPr="006E032A">
        <w:rPr>
          <w:rFonts w:ascii="Tahoma" w:hAnsi="Tahoma" w:cs="Tahoma"/>
          <w:sz w:val="22"/>
          <w:szCs w:val="22"/>
        </w:rPr>
        <w:t>.</w:t>
      </w:r>
    </w:p>
    <w:p w:rsidR="00D70C37" w:rsidRPr="006F12B4" w:rsidRDefault="00D70C37" w:rsidP="00D70C37">
      <w:pPr>
        <w:ind w:left="567"/>
        <w:jc w:val="both"/>
        <w:rPr>
          <w:rFonts w:ascii="Tahoma" w:hAnsi="Tahoma" w:cs="Tahoma"/>
          <w:sz w:val="22"/>
          <w:szCs w:val="22"/>
        </w:rPr>
      </w:pPr>
    </w:p>
    <w:p w:rsidR="00D70C37" w:rsidRPr="006F12B4" w:rsidRDefault="00D70C37" w:rsidP="00D70C37">
      <w:pPr>
        <w:pStyle w:val="Prrafodelista"/>
        <w:rPr>
          <w:rFonts w:ascii="Tahoma" w:hAnsi="Tahoma" w:cs="Tahoma"/>
          <w:sz w:val="22"/>
          <w:szCs w:val="22"/>
        </w:rPr>
      </w:pPr>
    </w:p>
    <w:p w:rsidR="00D70C37" w:rsidRPr="006F12B4" w:rsidRDefault="00D70C37" w:rsidP="00D70C37">
      <w:pPr>
        <w:numPr>
          <w:ilvl w:val="0"/>
          <w:numId w:val="7"/>
        </w:numPr>
        <w:tabs>
          <w:tab w:val="clear" w:pos="360"/>
        </w:tabs>
        <w:ind w:left="567" w:hanging="567"/>
        <w:jc w:val="both"/>
        <w:rPr>
          <w:rFonts w:ascii="Tahoma" w:hAnsi="Tahoma" w:cs="Tahoma"/>
          <w:sz w:val="22"/>
          <w:szCs w:val="22"/>
        </w:rPr>
      </w:pPr>
      <w:r>
        <w:rPr>
          <w:rFonts w:ascii="Tahoma" w:hAnsi="Tahoma" w:cs="Tahoma"/>
          <w:sz w:val="22"/>
          <w:szCs w:val="22"/>
          <w:lang w:val="es-ES_tradnl"/>
        </w:rPr>
        <w:t>Por otro lado</w:t>
      </w:r>
      <w:r w:rsidRPr="006F12B4">
        <w:rPr>
          <w:rFonts w:ascii="Tahoma" w:hAnsi="Tahoma" w:cs="Tahoma"/>
          <w:sz w:val="22"/>
          <w:szCs w:val="22"/>
        </w:rPr>
        <w:t xml:space="preserve">, </w:t>
      </w:r>
      <w:r>
        <w:rPr>
          <w:rFonts w:ascii="Tahoma" w:hAnsi="Tahoma" w:cs="Tahoma"/>
          <w:sz w:val="22"/>
          <w:szCs w:val="22"/>
        </w:rPr>
        <w:t>se debe</w:t>
      </w:r>
      <w:r w:rsidRPr="006F12B4">
        <w:rPr>
          <w:rFonts w:ascii="Tahoma" w:hAnsi="Tahoma" w:cs="Tahoma"/>
          <w:sz w:val="22"/>
          <w:szCs w:val="22"/>
        </w:rPr>
        <w:t xml:space="preserve"> to</w:t>
      </w:r>
      <w:r>
        <w:rPr>
          <w:rFonts w:ascii="Tahoma" w:hAnsi="Tahoma" w:cs="Tahoma"/>
          <w:sz w:val="22"/>
          <w:szCs w:val="22"/>
        </w:rPr>
        <w:t>mar</w:t>
      </w:r>
      <w:r w:rsidRPr="006F12B4">
        <w:rPr>
          <w:rFonts w:ascii="Tahoma" w:hAnsi="Tahoma" w:cs="Tahoma"/>
          <w:sz w:val="22"/>
          <w:szCs w:val="22"/>
        </w:rPr>
        <w:t xml:space="preserve"> en cuenta que el Denunciado carece de antecedentes en la comisión de infracciones administrativas, criterio especialmente relevante a efectos de atenuar la sanción a imponerse en casos como éste.</w:t>
      </w:r>
    </w:p>
    <w:p w:rsidR="00D70C37" w:rsidRPr="006F12B4" w:rsidRDefault="00D70C37" w:rsidP="00D70C37">
      <w:pPr>
        <w:pStyle w:val="Prrafodelista"/>
        <w:rPr>
          <w:rFonts w:ascii="Tahoma" w:hAnsi="Tahoma" w:cs="Tahoma"/>
          <w:sz w:val="22"/>
          <w:szCs w:val="22"/>
          <w:lang w:val="es-ES"/>
        </w:rPr>
      </w:pPr>
    </w:p>
    <w:p w:rsidR="00D70C37" w:rsidRDefault="00D70C37" w:rsidP="00D70C37">
      <w:pPr>
        <w:numPr>
          <w:ilvl w:val="0"/>
          <w:numId w:val="7"/>
        </w:numPr>
        <w:tabs>
          <w:tab w:val="clear" w:pos="360"/>
        </w:tabs>
        <w:ind w:left="567" w:hanging="567"/>
        <w:jc w:val="both"/>
        <w:rPr>
          <w:rFonts w:ascii="Tahoma" w:hAnsi="Tahoma" w:cs="Tahoma"/>
          <w:sz w:val="22"/>
          <w:szCs w:val="22"/>
        </w:rPr>
      </w:pPr>
      <w:r w:rsidRPr="006F12B4">
        <w:rPr>
          <w:rFonts w:ascii="Tahoma" w:hAnsi="Tahoma" w:cs="Tahoma"/>
          <w:sz w:val="22"/>
          <w:szCs w:val="22"/>
        </w:rPr>
        <w:t>Por lo antes expuesto, sin que medien circunstancias adicionales que permitan atenuar la responsabilidad del Denunciado en la comisión de la infracción, corresponde imponerle la sanción administrativa de inhabilitación temporal en sus derechos para participar en procesos de selección y contratar con e</w:t>
      </w:r>
      <w:r>
        <w:rPr>
          <w:rFonts w:ascii="Tahoma" w:hAnsi="Tahoma" w:cs="Tahoma"/>
          <w:sz w:val="22"/>
          <w:szCs w:val="22"/>
        </w:rPr>
        <w:t>l Estado, por el periodo de siete (07</w:t>
      </w:r>
      <w:r w:rsidRPr="006F12B4">
        <w:rPr>
          <w:rFonts w:ascii="Tahoma" w:hAnsi="Tahoma" w:cs="Tahoma"/>
          <w:sz w:val="22"/>
          <w:szCs w:val="22"/>
        </w:rPr>
        <w:t>) meses.</w:t>
      </w:r>
    </w:p>
    <w:p w:rsidR="00D70C37" w:rsidRDefault="00D70C37" w:rsidP="00D70C37">
      <w:pPr>
        <w:pStyle w:val="Prrafodelista"/>
        <w:rPr>
          <w:rFonts w:ascii="Tahoma" w:hAnsi="Tahoma" w:cs="Tahoma"/>
          <w:sz w:val="22"/>
          <w:szCs w:val="22"/>
        </w:rPr>
      </w:pPr>
    </w:p>
    <w:p w:rsidR="00D70C37" w:rsidRPr="00956268" w:rsidRDefault="00D70C37" w:rsidP="00D70C37">
      <w:pPr>
        <w:numPr>
          <w:ilvl w:val="0"/>
          <w:numId w:val="7"/>
        </w:numPr>
        <w:tabs>
          <w:tab w:val="clear" w:pos="360"/>
        </w:tabs>
        <w:ind w:left="567" w:hanging="567"/>
        <w:jc w:val="both"/>
        <w:rPr>
          <w:rFonts w:ascii="Tahoma" w:hAnsi="Tahoma" w:cs="Tahoma"/>
          <w:sz w:val="22"/>
          <w:szCs w:val="22"/>
        </w:rPr>
      </w:pPr>
      <w:r w:rsidRPr="00DA52AE">
        <w:rPr>
          <w:rFonts w:ascii="Tahoma" w:eastAsiaTheme="minorHAnsi" w:hAnsi="Tahoma" w:cs="Tahoma"/>
          <w:color w:val="000000"/>
          <w:sz w:val="22"/>
          <w:szCs w:val="22"/>
          <w:lang w:eastAsia="en-US"/>
        </w:rPr>
        <w:t>Finalmente, atendiendo a que la falsificación de documentos constituye un ilícito penal, previsto y sancionado en el artículo 427 del Código Penal</w:t>
      </w:r>
      <w:r>
        <w:rPr>
          <w:rStyle w:val="Refdenotaalpie"/>
          <w:rFonts w:ascii="Tahoma" w:eastAsiaTheme="minorHAnsi" w:hAnsi="Tahoma"/>
          <w:color w:val="000000"/>
          <w:sz w:val="22"/>
          <w:szCs w:val="22"/>
          <w:lang w:eastAsia="en-US"/>
        </w:rPr>
        <w:footnoteReference w:id="8"/>
      </w:r>
      <w:r w:rsidRPr="00DA52AE">
        <w:rPr>
          <w:rFonts w:ascii="Tahoma" w:eastAsiaTheme="minorHAnsi" w:hAnsi="Tahoma" w:cs="Tahoma"/>
          <w:color w:val="000000"/>
          <w:sz w:val="22"/>
          <w:szCs w:val="22"/>
          <w:lang w:eastAsia="en-US"/>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Pr>
          <w:rStyle w:val="Refdenotaalpie"/>
          <w:rFonts w:ascii="Tahoma" w:eastAsiaTheme="minorHAnsi" w:hAnsi="Tahoma"/>
          <w:color w:val="000000"/>
          <w:sz w:val="22"/>
          <w:szCs w:val="22"/>
          <w:lang w:eastAsia="en-US"/>
        </w:rPr>
        <w:footnoteReference w:id="9"/>
      </w:r>
      <w:r w:rsidRPr="00DA52AE">
        <w:rPr>
          <w:rFonts w:ascii="Tahoma" w:eastAsiaTheme="minorHAnsi" w:hAnsi="Tahoma" w:cs="Tahoma"/>
          <w:color w:val="000000"/>
          <w:sz w:val="22"/>
          <w:szCs w:val="22"/>
          <w:lang w:eastAsia="en-US"/>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D70C37" w:rsidRPr="00EF6D22" w:rsidRDefault="00D70C37" w:rsidP="00D70C37">
      <w:pPr>
        <w:jc w:val="both"/>
        <w:rPr>
          <w:rFonts w:ascii="Tahoma" w:hAnsi="Tahoma" w:cs="Tahoma"/>
          <w:sz w:val="22"/>
          <w:szCs w:val="22"/>
          <w:lang w:val="es-ES_tradnl"/>
        </w:rPr>
      </w:pPr>
    </w:p>
    <w:p w:rsidR="00D70C37" w:rsidRDefault="00D70C37" w:rsidP="00D70C37">
      <w:pPr>
        <w:tabs>
          <w:tab w:val="left" w:pos="3544"/>
          <w:tab w:val="left" w:pos="7230"/>
          <w:tab w:val="left" w:pos="8505"/>
        </w:tabs>
        <w:ind w:right="-486"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D70C37" w:rsidRPr="00EF6D22" w:rsidRDefault="00D70C37" w:rsidP="00D70C37">
      <w:pPr>
        <w:ind w:firstLine="426"/>
        <w:jc w:val="both"/>
        <w:rPr>
          <w:rFonts w:ascii="Tahoma" w:hAnsi="Tahoma" w:cs="Tahoma"/>
          <w:sz w:val="22"/>
          <w:szCs w:val="22"/>
        </w:rPr>
      </w:pPr>
    </w:p>
    <w:p w:rsidR="00D70C37" w:rsidRPr="00EF6D22" w:rsidRDefault="00D70C37" w:rsidP="00D70C37">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D70C37" w:rsidRPr="00EF6D22" w:rsidRDefault="00D70C37" w:rsidP="00D70C37">
      <w:pPr>
        <w:jc w:val="both"/>
        <w:rPr>
          <w:rFonts w:ascii="Tahoma" w:hAnsi="Tahoma" w:cs="Tahoma"/>
          <w:snapToGrid w:val="0"/>
          <w:sz w:val="22"/>
          <w:szCs w:val="22"/>
        </w:rPr>
      </w:pPr>
    </w:p>
    <w:p w:rsidR="00D70C37" w:rsidRPr="006F12B4" w:rsidRDefault="00D70C37" w:rsidP="00D70C37">
      <w:pPr>
        <w:pStyle w:val="NormalWeb"/>
        <w:numPr>
          <w:ilvl w:val="0"/>
          <w:numId w:val="9"/>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hAnsi="Tahoma" w:cs="Tahoma"/>
          <w:sz w:val="22"/>
          <w:szCs w:val="22"/>
        </w:rPr>
        <w:t xml:space="preserve">Imponer a la </w:t>
      </w:r>
      <w:r w:rsidRPr="002A789B">
        <w:rPr>
          <w:rFonts w:ascii="Tahoma" w:hAnsi="Tahoma" w:cs="Tahoma"/>
          <w:sz w:val="22"/>
          <w:szCs w:val="22"/>
        </w:rPr>
        <w:t>empresa CONSTRUCTORA PUKA HUECLLA S.R.L.</w:t>
      </w:r>
      <w:r w:rsidRPr="006F12B4">
        <w:rPr>
          <w:rFonts w:ascii="Tahoma" w:hAnsi="Tahoma" w:cs="Tahoma"/>
          <w:sz w:val="22"/>
          <w:szCs w:val="22"/>
        </w:rPr>
        <w:t xml:space="preserve"> sanción administrativa de inhabilitación temporal en sus derechos para participar en procesos de selección y contratar con e</w:t>
      </w:r>
      <w:r>
        <w:rPr>
          <w:rFonts w:ascii="Tahoma" w:hAnsi="Tahoma" w:cs="Tahoma"/>
          <w:sz w:val="22"/>
          <w:szCs w:val="22"/>
        </w:rPr>
        <w:t>l Estado, por el periodo de siete (07</w:t>
      </w:r>
      <w:r w:rsidRPr="006F12B4">
        <w:rPr>
          <w:rFonts w:ascii="Tahoma" w:hAnsi="Tahoma" w:cs="Tahoma"/>
          <w:sz w:val="22"/>
          <w:szCs w:val="22"/>
        </w:rPr>
        <w:t xml:space="preserve">) meses, la cual entrará en vigencia a partir del sexto día hábil siguiente de notificada la presente Resolución. </w:t>
      </w:r>
    </w:p>
    <w:p w:rsidR="00D70C37" w:rsidRPr="006F12B4" w:rsidRDefault="00D70C37" w:rsidP="00D70C37">
      <w:pPr>
        <w:pStyle w:val="NormalWeb"/>
        <w:spacing w:before="0" w:beforeAutospacing="0" w:after="0" w:afterAutospacing="0"/>
        <w:ind w:left="540"/>
        <w:jc w:val="both"/>
        <w:rPr>
          <w:rFonts w:ascii="Tahoma" w:hAnsi="Tahoma" w:cs="Tahoma"/>
          <w:sz w:val="22"/>
          <w:szCs w:val="22"/>
        </w:rPr>
      </w:pPr>
    </w:p>
    <w:p w:rsidR="00D70C37" w:rsidRPr="006F12B4" w:rsidRDefault="00D70C37" w:rsidP="00D70C37">
      <w:pPr>
        <w:pStyle w:val="NormalWeb"/>
        <w:numPr>
          <w:ilvl w:val="0"/>
          <w:numId w:val="9"/>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eastAsiaTheme="minorHAnsi" w:hAnsi="Tahoma" w:cs="Tahoma"/>
          <w:color w:val="000000"/>
          <w:sz w:val="22"/>
          <w:szCs w:val="22"/>
          <w:lang w:eastAsia="en-US"/>
        </w:rPr>
        <w:t>Poner la presente Resolución en conocimiento de la Presidencia Ejecutiva del OSCE</w:t>
      </w:r>
      <w:r>
        <w:rPr>
          <w:rFonts w:ascii="Tahoma" w:eastAsiaTheme="minorHAnsi" w:hAnsi="Tahoma" w:cs="Tahoma"/>
          <w:color w:val="000000"/>
          <w:sz w:val="22"/>
          <w:szCs w:val="22"/>
          <w:lang w:eastAsia="en-US"/>
        </w:rPr>
        <w:t>,</w:t>
      </w:r>
      <w:r w:rsidRPr="00956268">
        <w:rPr>
          <w:rFonts w:ascii="Tahoma" w:eastAsiaTheme="minorHAnsi" w:hAnsi="Tahoma" w:cs="Tahoma"/>
          <w:color w:val="000000"/>
          <w:sz w:val="22"/>
          <w:szCs w:val="22"/>
          <w:lang w:eastAsia="en-US"/>
        </w:rPr>
        <w:t xml:space="preserve"> </w:t>
      </w:r>
      <w:r>
        <w:rPr>
          <w:rFonts w:ascii="Tahoma" w:eastAsiaTheme="minorHAnsi" w:hAnsi="Tahoma" w:cs="Tahoma"/>
          <w:color w:val="000000"/>
          <w:sz w:val="22"/>
          <w:szCs w:val="22"/>
          <w:lang w:eastAsia="en-US"/>
        </w:rPr>
        <w:t>conforme a lo señalado en su fundamento 13, para que</w:t>
      </w:r>
      <w:r w:rsidRPr="006F12B4">
        <w:rPr>
          <w:rFonts w:ascii="Tahoma" w:eastAsiaTheme="minorHAnsi" w:hAnsi="Tahoma" w:cs="Tahoma"/>
          <w:color w:val="000000"/>
          <w:sz w:val="22"/>
          <w:szCs w:val="22"/>
          <w:lang w:eastAsia="en-US"/>
        </w:rPr>
        <w:t xml:space="preserve"> en mérito a sus </w:t>
      </w:r>
      <w:r w:rsidRPr="006F12B4">
        <w:rPr>
          <w:rFonts w:ascii="Tahoma" w:eastAsiaTheme="minorHAnsi" w:hAnsi="Tahoma" w:cs="Tahoma"/>
          <w:color w:val="000000"/>
          <w:sz w:val="22"/>
          <w:szCs w:val="22"/>
          <w:lang w:eastAsia="en-US"/>
        </w:rPr>
        <w:lastRenderedPageBreak/>
        <w:t>facultades y de considerarlo pertinente, formule la denuncia penal correspondiente ante el Ministerio Público</w:t>
      </w:r>
      <w:r>
        <w:rPr>
          <w:rFonts w:ascii="Tahoma" w:eastAsiaTheme="minorHAnsi" w:hAnsi="Tahoma" w:cs="Tahoma"/>
          <w:color w:val="000000"/>
          <w:sz w:val="22"/>
          <w:szCs w:val="22"/>
          <w:lang w:eastAsia="en-US"/>
        </w:rPr>
        <w:t>.</w:t>
      </w:r>
    </w:p>
    <w:p w:rsidR="00D70C37" w:rsidRPr="006F12B4" w:rsidRDefault="00D70C37" w:rsidP="00D70C37">
      <w:pPr>
        <w:pStyle w:val="Prrafodelista"/>
        <w:rPr>
          <w:rFonts w:ascii="Tahoma" w:hAnsi="Tahoma" w:cs="Tahoma"/>
          <w:sz w:val="22"/>
          <w:szCs w:val="22"/>
        </w:rPr>
      </w:pPr>
    </w:p>
    <w:p w:rsidR="00D70C37" w:rsidRPr="006F12B4" w:rsidRDefault="00D70C37" w:rsidP="00D70C37">
      <w:pPr>
        <w:pStyle w:val="NormalWeb"/>
        <w:numPr>
          <w:ilvl w:val="0"/>
          <w:numId w:val="9"/>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D70C37" w:rsidRPr="00EF6D22" w:rsidRDefault="00D70C37" w:rsidP="00D70C37">
      <w:pPr>
        <w:jc w:val="both"/>
        <w:rPr>
          <w:rFonts w:ascii="Tahoma" w:hAnsi="Tahoma" w:cs="Tahoma"/>
          <w:sz w:val="22"/>
          <w:szCs w:val="22"/>
        </w:rPr>
      </w:pPr>
    </w:p>
    <w:p w:rsidR="00D70C37" w:rsidRPr="00EF6D22" w:rsidRDefault="00D70C37" w:rsidP="00D70C37">
      <w:pPr>
        <w:pStyle w:val="Textoindependiente21"/>
        <w:ind w:firstLine="567"/>
        <w:rPr>
          <w:rFonts w:cs="Tahoma"/>
          <w:szCs w:val="22"/>
        </w:rPr>
      </w:pPr>
      <w:r w:rsidRPr="00EF6D22">
        <w:rPr>
          <w:rFonts w:cs="Tahoma"/>
          <w:szCs w:val="22"/>
        </w:rPr>
        <w:t>Regístrese, comuníquese y publíquese.</w:t>
      </w: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z w:val="22"/>
          <w:szCs w:val="22"/>
        </w:rPr>
      </w:pPr>
    </w:p>
    <w:p w:rsidR="00D70C37" w:rsidRPr="00EF6D22" w:rsidRDefault="00D70C37" w:rsidP="00D70C37">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D70C37" w:rsidRPr="00EF6D22" w:rsidRDefault="00D70C37" w:rsidP="00D70C37">
      <w:pPr>
        <w:ind w:firstLine="708"/>
        <w:rPr>
          <w:rFonts w:ascii="Tahoma" w:hAnsi="Tahoma" w:cs="Tahoma"/>
          <w:b/>
          <w:shadow/>
          <w:sz w:val="22"/>
          <w:szCs w:val="22"/>
          <w:lang w:val="pt-BR"/>
        </w:rPr>
      </w:pPr>
    </w:p>
    <w:p w:rsidR="00D70C37" w:rsidRPr="00EF6D22" w:rsidRDefault="00D70C37" w:rsidP="00D70C37">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D70C37" w:rsidRPr="00EF6D22" w:rsidRDefault="00D70C37" w:rsidP="00D70C37">
      <w:pPr>
        <w:rPr>
          <w:rFonts w:ascii="Tahoma" w:hAnsi="Tahoma" w:cs="Tahoma"/>
          <w:sz w:val="22"/>
          <w:szCs w:val="22"/>
          <w:lang w:val="pt-BR"/>
        </w:rPr>
      </w:pPr>
    </w:p>
    <w:p w:rsidR="00D70C37" w:rsidRPr="00EF6D22" w:rsidRDefault="00D70C37" w:rsidP="00D70C37">
      <w:pPr>
        <w:rPr>
          <w:rFonts w:ascii="Tahoma" w:hAnsi="Tahoma" w:cs="Tahoma"/>
          <w:sz w:val="22"/>
          <w:szCs w:val="22"/>
          <w:lang w:val="pt-BR"/>
        </w:rPr>
      </w:pPr>
    </w:p>
    <w:p w:rsidR="00D70C37" w:rsidRDefault="00D70C37" w:rsidP="00D70C37">
      <w:pPr>
        <w:jc w:val="both"/>
        <w:rPr>
          <w:rFonts w:ascii="Tahoma" w:hAnsi="Tahoma" w:cs="Tahoma"/>
          <w:sz w:val="22"/>
          <w:szCs w:val="22"/>
          <w:lang w:val="pt-BR"/>
        </w:rPr>
      </w:pPr>
      <w:r w:rsidRPr="00EF6D22">
        <w:rPr>
          <w:rFonts w:ascii="Tahoma" w:hAnsi="Tahoma" w:cs="Tahoma"/>
          <w:sz w:val="22"/>
          <w:szCs w:val="22"/>
          <w:lang w:val="pt-BR"/>
        </w:rPr>
        <w:t>ss.</w:t>
      </w:r>
    </w:p>
    <w:p w:rsidR="00D70C37" w:rsidRPr="00CB0B36" w:rsidRDefault="00D70C37" w:rsidP="00D70C37">
      <w:pPr>
        <w:jc w:val="both"/>
        <w:rPr>
          <w:rFonts w:ascii="Tahoma" w:hAnsi="Tahoma" w:cs="Tahoma"/>
          <w:sz w:val="22"/>
          <w:szCs w:val="22"/>
          <w:lang w:val="pt-BR"/>
        </w:rPr>
      </w:pPr>
      <w:r>
        <w:rPr>
          <w:rFonts w:ascii="Tahoma" w:hAnsi="Tahoma" w:cs="Tahoma"/>
          <w:sz w:val="22"/>
          <w:szCs w:val="22"/>
          <w:lang w:val="pt-BR"/>
        </w:rPr>
        <w:t>Navas Rondon</w:t>
      </w:r>
    </w:p>
    <w:p w:rsidR="00D70C37" w:rsidRPr="00EF6D22" w:rsidRDefault="00D70C37" w:rsidP="00D70C37">
      <w:pPr>
        <w:pStyle w:val="Textoindependiente21"/>
        <w:tabs>
          <w:tab w:val="left" w:pos="5250"/>
        </w:tabs>
        <w:rPr>
          <w:rFonts w:cs="Tahoma"/>
          <w:szCs w:val="22"/>
          <w:lang w:val="pt-BR"/>
        </w:rPr>
      </w:pPr>
      <w:r w:rsidRPr="00EF6D22">
        <w:rPr>
          <w:rFonts w:cs="Tahoma"/>
          <w:szCs w:val="22"/>
          <w:lang w:val="en-US"/>
        </w:rPr>
        <w:t>Ramírez Maynetto.</w:t>
      </w:r>
    </w:p>
    <w:p w:rsidR="00D70C37" w:rsidRPr="00EF6D22" w:rsidRDefault="00D70C37" w:rsidP="00D70C37">
      <w:pPr>
        <w:pStyle w:val="Textoindependiente21"/>
        <w:tabs>
          <w:tab w:val="left" w:pos="5250"/>
        </w:tabs>
        <w:rPr>
          <w:rFonts w:cs="Tahoma"/>
          <w:szCs w:val="22"/>
          <w:lang w:val="pt-BR"/>
        </w:rPr>
      </w:pPr>
      <w:r w:rsidRPr="00EF6D22">
        <w:rPr>
          <w:rFonts w:cs="Tahoma"/>
          <w:szCs w:val="22"/>
          <w:lang w:val="pt-BR"/>
        </w:rPr>
        <w:t>Basulto Liewald.</w:t>
      </w:r>
    </w:p>
    <w:p w:rsidR="00D70C37" w:rsidRPr="00EF6D22" w:rsidRDefault="00D70C37" w:rsidP="00D70C37">
      <w:pPr>
        <w:rPr>
          <w:rFonts w:ascii="Tahoma" w:hAnsi="Tahoma" w:cs="Tahoma"/>
          <w:sz w:val="22"/>
          <w:szCs w:val="22"/>
        </w:rPr>
      </w:pPr>
    </w:p>
    <w:p w:rsidR="008B738B" w:rsidRDefault="000A7600"/>
    <w:sectPr w:rsidR="008B738B" w:rsidSect="0035353E">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600" w:rsidRDefault="000A7600" w:rsidP="00D70C37">
      <w:r>
        <w:separator/>
      </w:r>
    </w:p>
  </w:endnote>
  <w:endnote w:type="continuationSeparator" w:id="1">
    <w:p w:rsidR="000A7600" w:rsidRDefault="000A7600" w:rsidP="00D70C37">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2575C3">
            <w:pPr>
              <w:pStyle w:val="Piedepgina"/>
              <w:jc w:val="center"/>
            </w:pPr>
            <w:r>
              <w:t xml:space="preserve">Página </w:t>
            </w:r>
            <w:r w:rsidR="00BE0393">
              <w:rPr>
                <w:b/>
              </w:rPr>
              <w:fldChar w:fldCharType="begin"/>
            </w:r>
            <w:r>
              <w:rPr>
                <w:b/>
              </w:rPr>
              <w:instrText>PAGE</w:instrText>
            </w:r>
            <w:r w:rsidR="00BE0393">
              <w:rPr>
                <w:b/>
              </w:rPr>
              <w:fldChar w:fldCharType="separate"/>
            </w:r>
            <w:r w:rsidR="00E763B5">
              <w:rPr>
                <w:b/>
                <w:noProof/>
              </w:rPr>
              <w:t>1</w:t>
            </w:r>
            <w:r w:rsidR="00BE0393">
              <w:rPr>
                <w:b/>
              </w:rPr>
              <w:fldChar w:fldCharType="end"/>
            </w:r>
            <w:r>
              <w:t xml:space="preserve"> de </w:t>
            </w:r>
            <w:r w:rsidR="00BE0393">
              <w:rPr>
                <w:b/>
              </w:rPr>
              <w:fldChar w:fldCharType="begin"/>
            </w:r>
            <w:r>
              <w:rPr>
                <w:b/>
              </w:rPr>
              <w:instrText>NUMPAGES</w:instrText>
            </w:r>
            <w:r w:rsidR="00BE0393">
              <w:rPr>
                <w:b/>
              </w:rPr>
              <w:fldChar w:fldCharType="separate"/>
            </w:r>
            <w:r w:rsidR="00E763B5">
              <w:rPr>
                <w:b/>
                <w:noProof/>
              </w:rPr>
              <w:t>8</w:t>
            </w:r>
            <w:r w:rsidR="00BE0393">
              <w:rPr>
                <w:b/>
              </w:rPr>
              <w:fldChar w:fldCharType="end"/>
            </w:r>
          </w:p>
        </w:sdtContent>
      </w:sdt>
    </w:sdtContent>
  </w:sdt>
  <w:p w:rsidR="0035353E" w:rsidRDefault="000A760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600" w:rsidRDefault="000A7600" w:rsidP="00D70C37">
      <w:r>
        <w:separator/>
      </w:r>
    </w:p>
  </w:footnote>
  <w:footnote w:type="continuationSeparator" w:id="1">
    <w:p w:rsidR="000A7600" w:rsidRDefault="000A7600" w:rsidP="00D70C37">
      <w:r>
        <w:continuationSeparator/>
      </w:r>
    </w:p>
  </w:footnote>
  <w:footnote w:id="2">
    <w:p w:rsidR="00D70C37" w:rsidRPr="00912285" w:rsidRDefault="00D70C37" w:rsidP="00D70C3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D70C37" w:rsidRPr="00912285" w:rsidRDefault="00D70C37" w:rsidP="00D70C37">
      <w:pPr>
        <w:pStyle w:val="Textonotapie"/>
        <w:jc w:val="both"/>
        <w:rPr>
          <w:rFonts w:ascii="Tahoma" w:hAnsi="Tahoma" w:cs="Tahoma"/>
          <w:sz w:val="16"/>
          <w:szCs w:val="16"/>
        </w:rPr>
      </w:pPr>
      <w:r w:rsidRPr="00912285">
        <w:rPr>
          <w:rFonts w:ascii="Tahoma" w:hAnsi="Tahoma" w:cs="Tahoma"/>
          <w:sz w:val="16"/>
          <w:szCs w:val="16"/>
        </w:rPr>
        <w:t>(…)</w:t>
      </w:r>
    </w:p>
    <w:p w:rsidR="00D70C37" w:rsidRPr="00912285" w:rsidRDefault="00D70C37" w:rsidP="00D70C37">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D70C37" w:rsidRPr="00912285" w:rsidRDefault="00D70C37" w:rsidP="00D70C37">
      <w:pPr>
        <w:pStyle w:val="Textonotapie"/>
        <w:jc w:val="both"/>
        <w:rPr>
          <w:rFonts w:ascii="Tahoma" w:hAnsi="Tahoma" w:cs="Tahoma"/>
          <w:sz w:val="16"/>
          <w:szCs w:val="16"/>
        </w:rPr>
      </w:pPr>
    </w:p>
  </w:footnote>
  <w:footnote w:id="3">
    <w:p w:rsidR="00D70C37" w:rsidRPr="00912285" w:rsidRDefault="00D70C37" w:rsidP="00D70C3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D70C37" w:rsidRPr="00912285" w:rsidRDefault="00D70C37" w:rsidP="00D70C37">
      <w:pPr>
        <w:pStyle w:val="Textonotapie"/>
        <w:jc w:val="both"/>
        <w:rPr>
          <w:rFonts w:ascii="Tahoma" w:hAnsi="Tahoma" w:cs="Tahoma"/>
          <w:sz w:val="16"/>
          <w:szCs w:val="16"/>
        </w:rPr>
      </w:pPr>
      <w:r w:rsidRPr="00912285">
        <w:rPr>
          <w:rFonts w:ascii="Tahoma" w:hAnsi="Tahoma" w:cs="Tahoma"/>
          <w:sz w:val="16"/>
          <w:szCs w:val="16"/>
        </w:rPr>
        <w:t>(…)</w:t>
      </w:r>
    </w:p>
    <w:p w:rsidR="00D70C37" w:rsidRDefault="00D70C37" w:rsidP="00D70C37">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4">
    <w:p w:rsidR="00D70C37" w:rsidRPr="00AD2B82" w:rsidRDefault="00D70C37" w:rsidP="00D70C37">
      <w:pPr>
        <w:autoSpaceDE w:val="0"/>
        <w:autoSpaceDN w:val="0"/>
        <w:adjustRightInd w:val="0"/>
        <w:jc w:val="both"/>
        <w:rPr>
          <w:rFonts w:ascii="Tahoma" w:hAnsi="Tahoma" w:cs="Tahoma"/>
          <w:b/>
          <w:bCs/>
          <w:sz w:val="18"/>
          <w:szCs w:val="18"/>
        </w:rPr>
      </w:pPr>
      <w:r w:rsidRPr="00AD2B82">
        <w:rPr>
          <w:rStyle w:val="Refdenotaalpie"/>
          <w:rFonts w:ascii="Tahoma" w:hAnsi="Tahoma" w:cs="Tahoma"/>
          <w:sz w:val="18"/>
          <w:szCs w:val="18"/>
        </w:rPr>
        <w:footnoteRef/>
      </w:r>
      <w:r w:rsidRPr="00AD2B82">
        <w:rPr>
          <w:rFonts w:ascii="Tahoma" w:hAnsi="Tahoma" w:cs="Tahoma"/>
          <w:sz w:val="18"/>
          <w:szCs w:val="18"/>
        </w:rPr>
        <w:t xml:space="preserve"> </w:t>
      </w:r>
      <w:r w:rsidRPr="00754384">
        <w:rPr>
          <w:rFonts w:ascii="Tahoma" w:hAnsi="Tahoma" w:cs="Tahoma"/>
          <w:b/>
          <w:bCs/>
          <w:sz w:val="16"/>
          <w:szCs w:val="16"/>
        </w:rPr>
        <w:t>Artículo 302.- Determinación gradual de la Sanción</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Para graduar la sanción a imponerse conforme a las disposiciones del presente Título, se considerarán los siguientes criterios:</w:t>
      </w:r>
    </w:p>
    <w:p w:rsidR="00D70C37" w:rsidRPr="00754384" w:rsidRDefault="00D70C37" w:rsidP="00D70C37">
      <w:pPr>
        <w:autoSpaceDE w:val="0"/>
        <w:autoSpaceDN w:val="0"/>
        <w:adjustRightInd w:val="0"/>
        <w:jc w:val="both"/>
        <w:rPr>
          <w:rFonts w:ascii="Tahoma" w:hAnsi="Tahoma" w:cs="Tahoma"/>
          <w:sz w:val="16"/>
          <w:szCs w:val="16"/>
        </w:rPr>
      </w:pP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1) Naturaleza de la infracción.</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2) Intencionalidad del infractor.</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3) Daño causado.</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4) Reiterancia.</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5) El reconocimiento de la infracción cometida antes de que sea detectada.</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6) Circunstancias de tiempo, lugar y modo.</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7) Condiciones del infractor.</w:t>
      </w:r>
    </w:p>
    <w:p w:rsidR="00D70C37" w:rsidRPr="00754384" w:rsidRDefault="00D70C37" w:rsidP="00D70C37">
      <w:pPr>
        <w:autoSpaceDE w:val="0"/>
        <w:autoSpaceDN w:val="0"/>
        <w:adjustRightInd w:val="0"/>
        <w:jc w:val="both"/>
        <w:rPr>
          <w:rFonts w:ascii="Tahoma" w:hAnsi="Tahoma" w:cs="Tahoma"/>
          <w:sz w:val="16"/>
          <w:szCs w:val="16"/>
        </w:rPr>
      </w:pPr>
      <w:r w:rsidRPr="00754384">
        <w:rPr>
          <w:rFonts w:ascii="Tahoma" w:hAnsi="Tahoma" w:cs="Tahoma"/>
          <w:sz w:val="16"/>
          <w:szCs w:val="16"/>
        </w:rPr>
        <w:t>8) Conducta procesal del infractor.</w:t>
      </w:r>
    </w:p>
    <w:p w:rsidR="00D70C37" w:rsidRPr="00AB3CA7" w:rsidRDefault="00D70C37" w:rsidP="00D70C37">
      <w:pPr>
        <w:pStyle w:val="Textonotapie"/>
        <w:rPr>
          <w:rFonts w:ascii="Tahoma" w:hAnsi="Tahoma" w:cs="Tahoma"/>
          <w:sz w:val="16"/>
          <w:szCs w:val="16"/>
        </w:rPr>
      </w:pPr>
    </w:p>
  </w:footnote>
  <w:footnote w:id="5">
    <w:p w:rsidR="00D70C37" w:rsidRPr="00AB3CA7" w:rsidRDefault="00D70C37" w:rsidP="00D70C37">
      <w:pPr>
        <w:pStyle w:val="Textonotapie"/>
        <w:tabs>
          <w:tab w:val="left" w:pos="360"/>
        </w:tabs>
        <w:ind w:left="360" w:hanging="360"/>
        <w:jc w:val="both"/>
        <w:rPr>
          <w:rFonts w:ascii="Tahoma" w:hAnsi="Tahoma" w:cs="Tahoma"/>
          <w:sz w:val="16"/>
          <w:szCs w:val="16"/>
        </w:rPr>
      </w:pPr>
      <w:r w:rsidRPr="00AB3CA7">
        <w:rPr>
          <w:rFonts w:ascii="Tahoma" w:hAnsi="Tahoma" w:cs="Tahoma"/>
          <w:sz w:val="16"/>
          <w:szCs w:val="16"/>
        </w:rPr>
        <w:t xml:space="preserve">    […]</w:t>
      </w:r>
    </w:p>
    <w:p w:rsidR="00D70C37" w:rsidRPr="00AB3CA7" w:rsidRDefault="00D70C37" w:rsidP="00D70C37">
      <w:pPr>
        <w:pStyle w:val="Textonotapie"/>
        <w:tabs>
          <w:tab w:val="left" w:pos="360"/>
        </w:tabs>
        <w:ind w:left="360" w:hanging="360"/>
        <w:jc w:val="both"/>
        <w:rPr>
          <w:rFonts w:ascii="Tahoma" w:hAnsi="Tahoma" w:cs="Tahoma"/>
          <w:sz w:val="16"/>
          <w:szCs w:val="16"/>
        </w:rPr>
      </w:pPr>
      <w:r w:rsidRPr="00AB3CA7">
        <w:rPr>
          <w:rStyle w:val="Refdenotaalpie"/>
          <w:rFonts w:ascii="Tahoma" w:hAnsi="Tahoma" w:cs="Tahoma"/>
          <w:sz w:val="16"/>
          <w:szCs w:val="16"/>
        </w:rPr>
        <w:footnoteRef/>
      </w:r>
      <w:r w:rsidRPr="00AB3CA7">
        <w:rPr>
          <w:rFonts w:ascii="Tahoma" w:hAnsi="Tahoma" w:cs="Tahoma"/>
          <w:sz w:val="16"/>
          <w:szCs w:val="16"/>
        </w:rPr>
        <w:t xml:space="preserve"> </w:t>
      </w:r>
      <w:r w:rsidRPr="00AB3CA7">
        <w:rPr>
          <w:rFonts w:ascii="Tahoma" w:hAnsi="Tahoma" w:cs="Tahoma"/>
          <w:b/>
          <w:sz w:val="16"/>
          <w:szCs w:val="16"/>
        </w:rPr>
        <w:t>Artículo 230.-</w:t>
      </w:r>
      <w:r w:rsidRPr="00AB3CA7">
        <w:rPr>
          <w:rFonts w:ascii="Tahoma" w:hAnsi="Tahoma" w:cs="Tahoma"/>
          <w:sz w:val="16"/>
          <w:szCs w:val="16"/>
        </w:rPr>
        <w:t xml:space="preserve"> </w:t>
      </w:r>
      <w:r w:rsidRPr="00AB3CA7">
        <w:rPr>
          <w:rFonts w:ascii="Tahoma" w:hAnsi="Tahoma" w:cs="Tahoma"/>
          <w:b/>
          <w:sz w:val="16"/>
          <w:szCs w:val="16"/>
        </w:rPr>
        <w:t>Principios de la potestad sancionadora</w:t>
      </w:r>
    </w:p>
    <w:p w:rsidR="00D70C37" w:rsidRPr="00AB3CA7" w:rsidRDefault="00D70C37" w:rsidP="00D70C37">
      <w:pPr>
        <w:pStyle w:val="Textonotapie"/>
        <w:tabs>
          <w:tab w:val="left" w:pos="0"/>
        </w:tabs>
        <w:jc w:val="both"/>
        <w:rPr>
          <w:rFonts w:ascii="Tahoma" w:hAnsi="Tahoma" w:cs="Tahoma"/>
          <w:sz w:val="16"/>
          <w:szCs w:val="16"/>
        </w:rPr>
      </w:pPr>
      <w:r w:rsidRPr="00AB3CA7">
        <w:rPr>
          <w:rFonts w:ascii="Tahoma" w:hAnsi="Tahoma" w:cs="Tahoma"/>
          <w:sz w:val="16"/>
          <w:szCs w:val="16"/>
        </w:rPr>
        <w:t xml:space="preserve">    […]</w:t>
      </w:r>
    </w:p>
    <w:p w:rsidR="00D70C37" w:rsidRPr="00AB3CA7" w:rsidRDefault="00D70C37" w:rsidP="00D70C37">
      <w:pPr>
        <w:pStyle w:val="Textonotapie"/>
        <w:tabs>
          <w:tab w:val="left" w:pos="180"/>
        </w:tabs>
        <w:ind w:left="180"/>
        <w:jc w:val="both"/>
        <w:rPr>
          <w:rFonts w:ascii="Tahoma" w:hAnsi="Tahoma" w:cs="Tahoma"/>
          <w:sz w:val="16"/>
          <w:szCs w:val="16"/>
        </w:rPr>
      </w:pPr>
      <w:r w:rsidRPr="00AB3CA7">
        <w:rPr>
          <w:rFonts w:ascii="Tahoma" w:hAnsi="Tahoma" w:cs="Tahoma"/>
          <w:sz w:val="16"/>
          <w:szCs w:val="16"/>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D70C37" w:rsidRPr="00DA2922" w:rsidRDefault="00D70C37" w:rsidP="00D70C37">
      <w:pPr>
        <w:pStyle w:val="Textonotapie"/>
        <w:tabs>
          <w:tab w:val="left" w:pos="0"/>
        </w:tabs>
        <w:jc w:val="both"/>
      </w:pPr>
      <w:r w:rsidRPr="00AB3CA7">
        <w:rPr>
          <w:rFonts w:ascii="Tahoma" w:hAnsi="Tahoma" w:cs="Tahoma"/>
          <w:sz w:val="16"/>
          <w:szCs w:val="16"/>
        </w:rPr>
        <w:t xml:space="preserve">     […]</w:t>
      </w:r>
    </w:p>
  </w:footnote>
  <w:footnote w:id="6">
    <w:p w:rsidR="00D70C37" w:rsidRPr="00912285" w:rsidRDefault="00D70C37" w:rsidP="00D70C3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D70C37" w:rsidRPr="00912285" w:rsidRDefault="00D70C37" w:rsidP="00D70C37">
      <w:pPr>
        <w:pStyle w:val="Textonotapie"/>
        <w:jc w:val="both"/>
        <w:rPr>
          <w:rFonts w:ascii="Tahoma" w:hAnsi="Tahoma" w:cs="Tahoma"/>
          <w:sz w:val="16"/>
          <w:szCs w:val="16"/>
        </w:rPr>
      </w:pPr>
      <w:r w:rsidRPr="00912285">
        <w:rPr>
          <w:rFonts w:ascii="Tahoma" w:hAnsi="Tahoma" w:cs="Tahoma"/>
          <w:sz w:val="16"/>
          <w:szCs w:val="16"/>
        </w:rPr>
        <w:t>(…)</w:t>
      </w:r>
    </w:p>
    <w:p w:rsidR="00D70C37" w:rsidRPr="00912285" w:rsidRDefault="00D70C37" w:rsidP="00D70C37">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D70C37" w:rsidRPr="00912285" w:rsidRDefault="00D70C37" w:rsidP="00D70C37">
      <w:pPr>
        <w:pStyle w:val="Textonotapie"/>
        <w:jc w:val="both"/>
        <w:rPr>
          <w:rFonts w:ascii="Tahoma" w:hAnsi="Tahoma" w:cs="Tahoma"/>
          <w:sz w:val="16"/>
          <w:szCs w:val="16"/>
        </w:rPr>
      </w:pPr>
    </w:p>
  </w:footnote>
  <w:footnote w:id="7">
    <w:p w:rsidR="00D70C37" w:rsidRPr="00912285" w:rsidRDefault="00D70C37" w:rsidP="00D70C3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D70C37" w:rsidRPr="00912285" w:rsidRDefault="00D70C37" w:rsidP="00D70C37">
      <w:pPr>
        <w:pStyle w:val="Textonotapie"/>
        <w:jc w:val="both"/>
        <w:rPr>
          <w:rFonts w:ascii="Tahoma" w:hAnsi="Tahoma" w:cs="Tahoma"/>
          <w:sz w:val="16"/>
          <w:szCs w:val="16"/>
        </w:rPr>
      </w:pPr>
      <w:r w:rsidRPr="00912285">
        <w:rPr>
          <w:rFonts w:ascii="Tahoma" w:hAnsi="Tahoma" w:cs="Tahoma"/>
          <w:sz w:val="16"/>
          <w:szCs w:val="16"/>
        </w:rPr>
        <w:t>(…)</w:t>
      </w:r>
    </w:p>
    <w:p w:rsidR="00D70C37" w:rsidRDefault="00D70C37" w:rsidP="00D70C37">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8">
    <w:p w:rsidR="00D70C37" w:rsidRPr="00DA52AE" w:rsidRDefault="00D70C37" w:rsidP="00D70C37">
      <w:pPr>
        <w:autoSpaceDE w:val="0"/>
        <w:autoSpaceDN w:val="0"/>
        <w:adjustRightInd w:val="0"/>
        <w:rPr>
          <w:rFonts w:ascii="Tahoma" w:eastAsiaTheme="minorHAnsi" w:hAnsi="Tahoma" w:cs="Tahoma"/>
          <w:b/>
          <w:bCs/>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427.- Falsificación de documentos</w:t>
      </w:r>
    </w:p>
    <w:p w:rsidR="00D70C37" w:rsidRPr="00DA52AE" w:rsidRDefault="00D70C37" w:rsidP="00D70C37">
      <w:pPr>
        <w:pStyle w:val="Textonotapie"/>
        <w:ind w:left="142"/>
        <w:rPr>
          <w:rFonts w:cs="Tahoma"/>
          <w:sz w:val="16"/>
          <w:szCs w:val="16"/>
        </w:rPr>
      </w:pPr>
      <w:r w:rsidRPr="00DA52AE">
        <w:rPr>
          <w:rFonts w:eastAsiaTheme="minorHAnsi" w:cs="Tahoma"/>
          <w:iCs/>
          <w:color w:val="000000"/>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 w:id="9">
    <w:p w:rsidR="00D70C37" w:rsidRPr="00DA52AE" w:rsidRDefault="00D70C37" w:rsidP="00D70C37">
      <w:pPr>
        <w:autoSpaceDE w:val="0"/>
        <w:autoSpaceDN w:val="0"/>
        <w:adjustRightInd w:val="0"/>
        <w:rPr>
          <w:rFonts w:ascii="Tahoma" w:eastAsiaTheme="minorHAnsi" w:hAnsi="Tahoma" w:cs="Tahoma"/>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438.- Falsedad genérica</w:t>
      </w:r>
      <w:r w:rsidRPr="00DA52AE">
        <w:rPr>
          <w:rFonts w:ascii="Tahoma" w:eastAsiaTheme="minorHAnsi" w:hAnsi="Tahoma" w:cs="Tahoma"/>
          <w:iCs/>
          <w:color w:val="000000"/>
          <w:sz w:val="16"/>
          <w:szCs w:val="16"/>
          <w:lang w:eastAsia="en-US"/>
        </w:rPr>
        <w:t xml:space="preserve"> </w:t>
      </w:r>
    </w:p>
    <w:p w:rsidR="00D70C37" w:rsidRPr="00DA52AE" w:rsidRDefault="00D70C37" w:rsidP="00D70C37">
      <w:pPr>
        <w:pStyle w:val="Textonotapie"/>
        <w:ind w:left="142"/>
        <w:rPr>
          <w:rFonts w:cs="Tahoma"/>
          <w:sz w:val="16"/>
          <w:szCs w:val="16"/>
        </w:rPr>
      </w:pPr>
      <w:r w:rsidRPr="00DA52AE">
        <w:rPr>
          <w:rFonts w:eastAsiaTheme="minorHAnsi" w:cs="Tahoma"/>
          <w:iCs/>
          <w:color w:val="000000"/>
          <w:sz w:val="16"/>
          <w:szCs w:val="16"/>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3B5" w:rsidRDefault="00E763B5" w:rsidP="00E763B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763B5" w:rsidRDefault="00E763B5" w:rsidP="00E763B5">
    <w:pPr>
      <w:pStyle w:val="Encabezado"/>
      <w:rPr>
        <w:noProof/>
      </w:rPr>
    </w:pPr>
  </w:p>
  <w:p w:rsidR="00E763B5" w:rsidRDefault="00E763B5" w:rsidP="00E763B5">
    <w:pPr>
      <w:pStyle w:val="Encabezado"/>
      <w:rPr>
        <w:noProof/>
      </w:rPr>
    </w:pPr>
  </w:p>
  <w:p w:rsidR="00E763B5" w:rsidRDefault="00E763B5" w:rsidP="00E763B5">
    <w:pPr>
      <w:pStyle w:val="Encabezado"/>
      <w:rPr>
        <w:noProof/>
      </w:rPr>
    </w:pPr>
  </w:p>
  <w:p w:rsidR="00E763B5" w:rsidRDefault="00E763B5" w:rsidP="00E763B5">
    <w:pPr>
      <w:pStyle w:val="Encabezado"/>
      <w:jc w:val="center"/>
    </w:pPr>
    <w:r>
      <w:rPr>
        <w:rFonts w:ascii="Monotype Corsiva" w:hAnsi="Monotype Corsiva"/>
        <w:b/>
        <w:sz w:val="44"/>
        <w:szCs w:val="44"/>
      </w:rPr>
      <w:t xml:space="preserve">Resolución Nº   </w:t>
    </w:r>
    <w:r>
      <w:rPr>
        <w:rFonts w:ascii="Tahoma" w:hAnsi="Tahoma" w:cs="Tahoma"/>
        <w:b/>
        <w:sz w:val="44"/>
        <w:szCs w:val="44"/>
      </w:rPr>
      <w:t>423-2011-TC-S1</w:t>
    </w:r>
  </w:p>
  <w:p w:rsidR="00E763B5" w:rsidRDefault="00E763B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2">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28601FD"/>
    <w:multiLevelType w:val="hybridMultilevel"/>
    <w:tmpl w:val="30AEF836"/>
    <w:lvl w:ilvl="0" w:tplc="F2CACB3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BB436EA"/>
    <w:multiLevelType w:val="hybridMultilevel"/>
    <w:tmpl w:val="F8EABD5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8">
    <w:nsid w:val="78F805BE"/>
    <w:multiLevelType w:val="hybridMultilevel"/>
    <w:tmpl w:val="F6F81B0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7"/>
  </w:num>
  <w:num w:numId="6">
    <w:abstractNumId w:val="6"/>
  </w:num>
  <w:num w:numId="7">
    <w:abstractNumId w:val="1"/>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D70C37"/>
    <w:rsid w:val="000A7600"/>
    <w:rsid w:val="00207BD6"/>
    <w:rsid w:val="002575C3"/>
    <w:rsid w:val="002D2FE0"/>
    <w:rsid w:val="005F0E2E"/>
    <w:rsid w:val="0066246B"/>
    <w:rsid w:val="008A53B8"/>
    <w:rsid w:val="009042C5"/>
    <w:rsid w:val="00BE0393"/>
    <w:rsid w:val="00D70C37"/>
    <w:rsid w:val="00E763B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C3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70C37"/>
    <w:pPr>
      <w:spacing w:after="120"/>
    </w:pPr>
    <w:rPr>
      <w:sz w:val="16"/>
      <w:szCs w:val="16"/>
      <w:lang w:val="es-PE"/>
    </w:rPr>
  </w:style>
  <w:style w:type="character" w:customStyle="1" w:styleId="Textoindependiente3Car">
    <w:name w:val="Texto independiente 3 Car"/>
    <w:basedOn w:val="Fuentedeprrafopredeter"/>
    <w:link w:val="Textoindependiente3"/>
    <w:rsid w:val="00D70C37"/>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D70C37"/>
    <w:pPr>
      <w:jc w:val="both"/>
    </w:pPr>
    <w:rPr>
      <w:rFonts w:ascii="Tahoma" w:hAnsi="Tahoma"/>
      <w:sz w:val="22"/>
      <w:szCs w:val="20"/>
    </w:rPr>
  </w:style>
  <w:style w:type="paragraph" w:styleId="Prrafodelista">
    <w:name w:val="List Paragraph"/>
    <w:basedOn w:val="Normal"/>
    <w:uiPriority w:val="34"/>
    <w:qFormat/>
    <w:rsid w:val="00D70C37"/>
    <w:pPr>
      <w:widowControl w:val="0"/>
      <w:suppressAutoHyphens/>
      <w:ind w:left="708"/>
    </w:pPr>
    <w:rPr>
      <w:szCs w:val="20"/>
      <w:lang w:val="es-ES_tradnl"/>
    </w:rPr>
  </w:style>
  <w:style w:type="paragraph" w:styleId="Piedepgina">
    <w:name w:val="footer"/>
    <w:basedOn w:val="Normal"/>
    <w:link w:val="PiedepginaCar"/>
    <w:uiPriority w:val="99"/>
    <w:unhideWhenUsed/>
    <w:rsid w:val="00D70C37"/>
    <w:pPr>
      <w:tabs>
        <w:tab w:val="center" w:pos="4252"/>
        <w:tab w:val="right" w:pos="8504"/>
      </w:tabs>
    </w:pPr>
  </w:style>
  <w:style w:type="character" w:customStyle="1" w:styleId="PiedepginaCar">
    <w:name w:val="Pie de página Car"/>
    <w:basedOn w:val="Fuentedeprrafopredeter"/>
    <w:link w:val="Piedepgina"/>
    <w:uiPriority w:val="99"/>
    <w:rsid w:val="00D70C37"/>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D70C37"/>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D70C3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D70C37"/>
    <w:rPr>
      <w:rFonts w:cs="Times New Roman"/>
      <w:vertAlign w:val="superscript"/>
    </w:rPr>
  </w:style>
  <w:style w:type="paragraph" w:styleId="NormalWeb">
    <w:name w:val="Normal (Web)"/>
    <w:basedOn w:val="Normal"/>
    <w:rsid w:val="00D70C37"/>
    <w:pPr>
      <w:spacing w:before="100" w:beforeAutospacing="1" w:after="100" w:afterAutospacing="1"/>
    </w:pPr>
  </w:style>
  <w:style w:type="paragraph" w:styleId="Encabezado">
    <w:name w:val="header"/>
    <w:aliases w:val="maria,h"/>
    <w:basedOn w:val="Normal"/>
    <w:link w:val="EncabezadoCar"/>
    <w:uiPriority w:val="99"/>
    <w:semiHidden/>
    <w:unhideWhenUsed/>
    <w:rsid w:val="00E763B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763B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47614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8</Pages>
  <Words>2405</Words>
  <Characters>13228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2011-03-10T17:13:00Z</cp:lastPrinted>
  <dcterms:created xsi:type="dcterms:W3CDTF">2011-03-10T17:06:00Z</dcterms:created>
  <dcterms:modified xsi:type="dcterms:W3CDTF">2011-04-06T16:32:00Z</dcterms:modified>
</cp:coreProperties>
</file>